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0CA49">
      <w:pPr>
        <w:widowControl w:val="0"/>
        <w:tabs>
          <w:tab w:val="right" w:pos="9356"/>
          <w:tab w:val="right" w:pos="10206"/>
        </w:tabs>
        <w:overflowPunct w:val="0"/>
        <w:autoSpaceDE w:val="0"/>
        <w:autoSpaceDN w:val="0"/>
        <w:adjustRightInd w:val="0"/>
        <w:spacing w:before="0" w:beforeAutospacing="0" w:after="0"/>
        <w:textAlignment w:val="baseline"/>
        <w:rPr>
          <w:rFonts w:ascii="Arial" w:hAnsi="Arial" w:cs="Arial"/>
          <w:b/>
          <w:bCs/>
          <w:sz w:val="24"/>
          <w:szCs w:val="24"/>
          <w:lang w:eastAsia="ja-JP"/>
        </w:rPr>
      </w:pPr>
      <w:r>
        <w:rPr>
          <w:rFonts w:ascii="Arial" w:hAnsi="Arial" w:cs="Arial"/>
          <w:b/>
          <w:bCs/>
          <w:sz w:val="24"/>
          <w:szCs w:val="24"/>
          <w:lang w:eastAsia="ja-JP"/>
        </w:rPr>
        <w:t>3GPP TSG-RAN WG4 Meeting #1</w:t>
      </w:r>
      <w:r>
        <w:rPr>
          <w:rFonts w:ascii="Arial" w:hAnsi="Arial" w:cs="Arial"/>
          <w:b/>
          <w:sz w:val="24"/>
          <w:szCs w:val="24"/>
          <w:lang w:eastAsia="ja-JP"/>
        </w:rPr>
        <w:t>15</w:t>
      </w:r>
      <w:r>
        <w:tab/>
      </w:r>
      <w:r>
        <w:rPr>
          <w:rFonts w:ascii="Arial" w:hAnsi="Arial" w:cs="Arial"/>
          <w:b/>
          <w:bCs/>
          <w:sz w:val="24"/>
          <w:szCs w:val="24"/>
          <w:lang w:eastAsia="ja-JP"/>
        </w:rPr>
        <w:t xml:space="preserve">    R4-</w:t>
      </w:r>
      <w:r>
        <w:rPr>
          <w:rFonts w:ascii="Arial" w:hAnsi="Arial" w:cs="Arial"/>
          <w:b/>
          <w:bCs/>
          <w:sz w:val="24"/>
          <w:szCs w:val="24"/>
          <w:highlight w:val="none"/>
          <w:lang w:eastAsia="ja-JP"/>
        </w:rPr>
        <w:t>2</w:t>
      </w:r>
      <w:r>
        <w:rPr>
          <w:rFonts w:ascii="Arial" w:hAnsi="Arial" w:cs="Arial"/>
          <w:b/>
          <w:sz w:val="24"/>
          <w:szCs w:val="24"/>
          <w:highlight w:val="none"/>
          <w:lang w:eastAsia="ja-JP"/>
        </w:rPr>
        <w:t>5</w:t>
      </w:r>
      <w:r>
        <w:rPr>
          <w:rFonts w:hint="default" w:ascii="Arial" w:hAnsi="Arial" w:cs="Arial"/>
          <w:b/>
          <w:sz w:val="24"/>
          <w:szCs w:val="24"/>
          <w:highlight w:val="none"/>
          <w:lang w:val="sv-SE" w:eastAsia="ja-JP"/>
        </w:rPr>
        <w:t>07666</w:t>
      </w:r>
    </w:p>
    <w:p w14:paraId="4850CA4A">
      <w:pPr>
        <w:widowControl w:val="0"/>
        <w:tabs>
          <w:tab w:val="right" w:pos="9356"/>
          <w:tab w:val="right" w:pos="10206"/>
        </w:tabs>
        <w:overflowPunct w:val="0"/>
        <w:autoSpaceDE w:val="0"/>
        <w:autoSpaceDN w:val="0"/>
        <w:adjustRightInd w:val="0"/>
        <w:spacing w:before="0" w:beforeAutospacing="0" w:after="0"/>
        <w:textAlignment w:val="baseline"/>
        <w:rPr>
          <w:rFonts w:ascii="Arial" w:hAnsi="Arial" w:cs="Arial"/>
          <w:b/>
          <w:sz w:val="24"/>
          <w:szCs w:val="24"/>
          <w:lang w:val="sv-SE" w:eastAsia="ja-JP"/>
        </w:rPr>
      </w:pPr>
      <w:r>
        <w:rPr>
          <w:rFonts w:ascii="Arial" w:hAnsi="Arial" w:cs="Arial"/>
          <w:b/>
          <w:sz w:val="24"/>
          <w:szCs w:val="24"/>
          <w:lang w:val="sv-SE" w:eastAsia="ja-JP"/>
        </w:rPr>
        <w:t>Malta, MT,</w:t>
      </w:r>
      <w:r>
        <w:rPr>
          <w:rFonts w:ascii="Arial" w:hAnsi="Arial" w:cs="Arial"/>
          <w:b/>
          <w:bCs/>
          <w:sz w:val="24"/>
          <w:szCs w:val="24"/>
          <w:lang w:val="sv-SE" w:eastAsia="ja-JP"/>
        </w:rPr>
        <w:t xml:space="preserve"> 19 – </w:t>
      </w:r>
      <w:r>
        <w:rPr>
          <w:rFonts w:ascii="Arial" w:hAnsi="Arial" w:cs="Arial"/>
          <w:b/>
          <w:sz w:val="24"/>
          <w:szCs w:val="24"/>
          <w:lang w:val="sv-SE" w:eastAsia="ja-JP"/>
        </w:rPr>
        <w:t xml:space="preserve">24 May </w:t>
      </w:r>
      <w:r>
        <w:rPr>
          <w:rFonts w:ascii="Arial" w:hAnsi="Arial" w:cs="Arial"/>
          <w:b/>
          <w:bCs/>
          <w:sz w:val="24"/>
          <w:szCs w:val="24"/>
          <w:lang w:val="sv-SE" w:eastAsia="ja-JP"/>
        </w:rPr>
        <w:t>202</w:t>
      </w:r>
      <w:r>
        <w:rPr>
          <w:rFonts w:ascii="Arial" w:hAnsi="Arial" w:cs="Arial"/>
          <w:b/>
          <w:sz w:val="24"/>
          <w:szCs w:val="24"/>
          <w:lang w:val="sv-SE" w:eastAsia="ja-JP"/>
        </w:rPr>
        <w:t>5</w:t>
      </w:r>
    </w:p>
    <w:p w14:paraId="4850CA4B">
      <w:pPr>
        <w:tabs>
          <w:tab w:val="left" w:pos="1985"/>
        </w:tabs>
        <w:spacing w:after="120"/>
        <w:rPr>
          <w:rFonts w:ascii="Arial" w:hAnsi="Arial" w:eastAsia="MS Mincho" w:cs="Arial"/>
          <w:b/>
          <w:bCs/>
          <w:sz w:val="24"/>
          <w:highlight w:val="yellow"/>
          <w:lang w:val="sv-SE"/>
        </w:rPr>
      </w:pPr>
    </w:p>
    <w:p w14:paraId="4850CA4C">
      <w:pPr>
        <w:tabs>
          <w:tab w:val="left" w:pos="1985"/>
        </w:tabs>
        <w:spacing w:before="0" w:beforeAutospacing="0" w:after="120"/>
        <w:rPr>
          <w:rFonts w:ascii="Arial" w:hAnsi="Arial" w:eastAsia="MS Mincho" w:cs="Arial"/>
          <w:b/>
          <w:sz w:val="24"/>
          <w:lang w:val="sv-SE"/>
        </w:rPr>
      </w:pPr>
      <w:r>
        <w:rPr>
          <w:rFonts w:ascii="Arial" w:hAnsi="Arial" w:eastAsia="MS Mincho" w:cs="Arial"/>
          <w:b/>
          <w:bCs/>
          <w:sz w:val="24"/>
          <w:lang w:val="sv-SE"/>
        </w:rPr>
        <w:t>Agenda Item:</w:t>
      </w:r>
      <w:r>
        <w:rPr>
          <w:rFonts w:ascii="Arial" w:hAnsi="Arial" w:eastAsia="MS Mincho" w:cs="Arial"/>
          <w:b/>
          <w:bCs/>
          <w:sz w:val="24"/>
          <w:lang w:val="sv-SE"/>
        </w:rPr>
        <w:tab/>
      </w:r>
      <w:r>
        <w:rPr>
          <w:rFonts w:ascii="Arial" w:hAnsi="Arial" w:eastAsia="MS Mincho" w:cs="Arial"/>
          <w:b/>
          <w:bCs/>
          <w:sz w:val="24"/>
          <w:lang w:val="sv-SE"/>
        </w:rPr>
        <w:t>7.23.2</w:t>
      </w:r>
    </w:p>
    <w:p w14:paraId="4850CA4D">
      <w:pPr>
        <w:tabs>
          <w:tab w:val="left" w:pos="1985"/>
        </w:tabs>
        <w:spacing w:before="0" w:beforeAutospacing="0" w:after="120"/>
        <w:rPr>
          <w:rFonts w:ascii="Arial" w:hAnsi="Arial" w:eastAsia="MS Mincho" w:cs="Arial"/>
          <w:b/>
          <w:bCs/>
          <w:sz w:val="24"/>
        </w:rPr>
      </w:pPr>
      <w:r>
        <w:rPr>
          <w:rFonts w:ascii="Arial" w:hAnsi="Arial" w:eastAsia="MS Mincho" w:cs="Arial"/>
          <w:b/>
          <w:bCs/>
          <w:sz w:val="24"/>
        </w:rPr>
        <w:t xml:space="preserve">Source: </w:t>
      </w:r>
      <w:r>
        <w:rPr>
          <w:rFonts w:ascii="Arial" w:hAnsi="Arial" w:eastAsia="MS Mincho" w:cs="Arial"/>
          <w:b/>
          <w:bCs/>
          <w:sz w:val="24"/>
        </w:rPr>
        <w:tab/>
      </w:r>
      <w:r>
        <w:rPr>
          <w:rFonts w:ascii="Arial" w:hAnsi="Arial" w:eastAsia="MS Mincho" w:cs="Arial"/>
          <w:b/>
          <w:bCs/>
          <w:sz w:val="24"/>
        </w:rPr>
        <w:t>Ericsson</w:t>
      </w:r>
    </w:p>
    <w:p w14:paraId="4850CA4E">
      <w:pPr>
        <w:tabs>
          <w:tab w:val="left" w:pos="1985"/>
        </w:tabs>
        <w:spacing w:before="0" w:beforeAutospacing="0" w:after="120"/>
        <w:ind w:left="1980" w:hanging="1980"/>
        <w:rPr>
          <w:rFonts w:ascii="Arial" w:hAnsi="Arial" w:eastAsia="MS Mincho" w:cs="Arial"/>
          <w:b/>
          <w:sz w:val="24"/>
          <w:szCs w:val="24"/>
        </w:rPr>
      </w:pPr>
      <w:r>
        <w:rPr>
          <w:rFonts w:ascii="Arial" w:hAnsi="Arial" w:eastAsia="MS Mincho" w:cs="Arial"/>
          <w:b/>
          <w:bCs/>
          <w:sz w:val="24"/>
          <w:szCs w:val="24"/>
        </w:rPr>
        <w:t>Title:</w:t>
      </w:r>
      <w:r>
        <w:tab/>
      </w:r>
      <w:r>
        <w:rPr>
          <w:rFonts w:ascii="Arial" w:hAnsi="Arial" w:eastAsia="MS Mincho" w:cs="Arial"/>
          <w:b/>
          <w:sz w:val="24"/>
          <w:szCs w:val="24"/>
        </w:rPr>
        <w:t>General discussion on AI/ML for mobility</w:t>
      </w:r>
    </w:p>
    <w:p w14:paraId="4850CA4F">
      <w:pPr>
        <w:tabs>
          <w:tab w:val="left" w:pos="1985"/>
        </w:tabs>
        <w:spacing w:before="0" w:beforeAutospacing="0" w:after="120"/>
        <w:rPr>
          <w:rFonts w:ascii="Arial" w:hAnsi="Arial" w:eastAsia="MS Mincho" w:cs="Arial"/>
          <w:b/>
          <w:bCs/>
          <w:sz w:val="24"/>
        </w:rPr>
      </w:pPr>
      <w:r>
        <w:rPr>
          <w:rFonts w:ascii="Arial" w:hAnsi="Arial" w:eastAsia="MS Mincho" w:cs="Arial"/>
          <w:b/>
          <w:bCs/>
          <w:sz w:val="24"/>
        </w:rPr>
        <w:t>Document for:</w:t>
      </w:r>
      <w:r>
        <w:rPr>
          <w:rFonts w:ascii="Arial" w:hAnsi="Arial" w:eastAsia="MS Mincho" w:cs="Arial"/>
          <w:b/>
          <w:bCs/>
          <w:sz w:val="24"/>
        </w:rPr>
        <w:tab/>
      </w:r>
      <w:r>
        <w:rPr>
          <w:rFonts w:ascii="Arial" w:hAnsi="Arial" w:eastAsia="MS Mincho" w:cs="Arial"/>
          <w:b/>
          <w:bCs/>
          <w:sz w:val="24"/>
        </w:rPr>
        <w:t>Approval</w:t>
      </w:r>
    </w:p>
    <w:p w14:paraId="3BC55522">
      <w:pPr>
        <w:tabs>
          <w:tab w:val="left" w:pos="1985"/>
        </w:tabs>
        <w:spacing w:before="0" w:beforeAutospacing="0" w:after="120"/>
        <w:rPr>
          <w:rFonts w:ascii="Arial" w:hAnsi="Arial" w:eastAsia="MS Mincho" w:cs="Arial"/>
          <w:b/>
          <w:bCs/>
          <w:sz w:val="24"/>
        </w:rPr>
      </w:pPr>
    </w:p>
    <w:p w14:paraId="4850CA50">
      <w:pPr>
        <w:pStyle w:val="2"/>
        <w:tabs>
          <w:tab w:val="left" w:pos="432"/>
        </w:tabs>
        <w:ind w:left="431" w:right="72" w:hanging="431"/>
        <w:jc w:val="both"/>
        <w:rPr>
          <w:szCs w:val="36"/>
          <w:lang w:val="en-US"/>
        </w:rPr>
      </w:pPr>
      <w:r>
        <w:rPr>
          <w:szCs w:val="36"/>
          <w:lang w:val="en-US"/>
        </w:rPr>
        <w:t>Introductio</w:t>
      </w:r>
      <w:bookmarkStart w:id="0" w:name="OLE_LINK14"/>
      <w:bookmarkStart w:id="1" w:name="OLE_LINK13"/>
      <w:r>
        <w:rPr>
          <w:szCs w:val="36"/>
          <w:lang w:val="en-US"/>
        </w:rPr>
        <w:t>n</w:t>
      </w:r>
    </w:p>
    <w:p w14:paraId="4850CA51">
      <w:pPr>
        <w:rPr>
          <w:szCs w:val="36"/>
          <w:lang w:eastAsia="ja-JP"/>
        </w:rPr>
      </w:pPr>
      <w:r>
        <w:t>This contribution discusses generic issues related to AI/ML aided mobility being studied in Rel. 19 in RAN4. The discussions presented in this paper addresses impact of measurement error on prediction accuracy, data collection for network sided model, and view on scenarios to be captured in the TR of the study item.</w:t>
      </w:r>
      <w:r>
        <w:br w:type="textWrapping"/>
      </w:r>
    </w:p>
    <w:p w14:paraId="4850CA52">
      <w:pPr>
        <w:pStyle w:val="2"/>
        <w:rPr>
          <w:lang w:val="en-US"/>
        </w:rPr>
      </w:pPr>
      <w:r>
        <w:rPr>
          <w:lang w:val="en-US"/>
        </w:rPr>
        <w:t>Discussion</w:t>
      </w:r>
    </w:p>
    <w:p w14:paraId="4850CA53">
      <w:pPr>
        <w:pStyle w:val="3"/>
      </w:pPr>
      <w:r>
        <w:t>Impact of measurement error on prediction accuracy</w:t>
      </w:r>
    </w:p>
    <w:p w14:paraId="1CD0503C">
      <w:r>
        <w:t xml:space="preserve">To reduce the measurement overhead and measurement delay for network triggered L3-based mobility, prediction of RRM measurements in time domain, frequency domain, and spatial domain are being studied in Rel. 19. To predict the RRM measurement, the UE needs to perform measurements for model input. Based on the evaluations done by RAN2, the legacy measurements (L3 filtered RSRP measurements) can be used as an input to the AI/ML model by the UE for RRM measurement prediction. The results from the evaluation highlight that the RRM measurement prediction can provide gain in terms of the measurement overhead and delay reductions in comparison to the legacy approach. These gains should however not come at a cost of degradation in the accuracy of the measurement reported to the network for the L3-based mobility when the RRM measurements reported by the UE to the network are the predicted measurements. </w:t>
      </w:r>
    </w:p>
    <w:p w14:paraId="4850CA57">
      <w:r>
        <w:t>The accuracy of measurements predicted using an AI/ML model depends on the accuracy of the measurements provided as an input to the AI/ML model. This has been acknowledged by RAN4 in previous meetings where the following agreement was reached.</w:t>
      </w:r>
    </w:p>
    <w:p w14:paraId="4850CA58">
      <w:pPr>
        <w:ind w:left="312" w:hanging="312"/>
        <w:rPr>
          <w:lang w:eastAsia="zh-CN"/>
        </w:rPr>
      </w:pPr>
      <w:r>
        <w:rPr>
          <w:b/>
          <w:bCs/>
          <w:u w:val="single"/>
          <w:lang w:eastAsia="zh-CN"/>
        </w:rPr>
        <w:t>Agreement from RAN4#114 [1]</w:t>
      </w:r>
      <w:r>
        <w:rPr>
          <w:lang w:eastAsia="zh-CN"/>
        </w:rPr>
        <w:t>:</w:t>
      </w:r>
    </w:p>
    <w:p w14:paraId="4850CA59">
      <w:pPr>
        <w:pStyle w:val="172"/>
        <w:numPr>
          <w:ilvl w:val="0"/>
          <w:numId w:val="12"/>
        </w:numPr>
        <w:overflowPunct w:val="0"/>
        <w:autoSpaceDE w:val="0"/>
        <w:autoSpaceDN w:val="0"/>
        <w:adjustRightInd w:val="0"/>
        <w:spacing w:before="0" w:beforeAutospacing="0" w:after="120"/>
        <w:ind w:left="312"/>
        <w:contextualSpacing w:val="0"/>
        <w:textAlignment w:val="baseline"/>
        <w:rPr>
          <w:i/>
          <w:iCs/>
          <w:lang w:eastAsia="zh-CN"/>
        </w:rPr>
      </w:pPr>
      <w:r>
        <w:rPr>
          <w:i/>
          <w:iCs/>
          <w:lang w:eastAsia="zh-CN"/>
        </w:rPr>
        <w:t>For AI based RRM measurement prediction in the SI, while RAN4 has not agreed yet on the exact error model(s) in the SI phase, RAN4 think RF and baseband errors on the measurements would impact the prediction accuracy.</w:t>
      </w:r>
    </w:p>
    <w:p w14:paraId="4850CA5A">
      <w:r>
        <w:t>To acquire a holistic view of the aspects that have an impact on the performance of AI/ML aided mobility, at least the following two issues needs to be investigated by RAN4:</w:t>
      </w:r>
    </w:p>
    <w:p w14:paraId="4850CA5B">
      <w:pPr>
        <w:pStyle w:val="172"/>
        <w:numPr>
          <w:ilvl w:val="0"/>
          <w:numId w:val="13"/>
        </w:numPr>
      </w:pPr>
      <w:r>
        <w:rPr>
          <w:b/>
          <w:bCs/>
          <w:u w:val="single"/>
        </w:rPr>
        <w:t>Issue #1</w:t>
      </w:r>
      <w:r>
        <w:t>: Relates to the impact of error in the measurements used as input(s) to the AI/ML model on the accuracy of the predicted measurement.</w:t>
      </w:r>
      <w:r>
        <w:br w:type="textWrapping"/>
      </w:r>
    </w:p>
    <w:p w14:paraId="4850CA5C">
      <w:pPr>
        <w:pStyle w:val="172"/>
        <w:numPr>
          <w:ilvl w:val="0"/>
          <w:numId w:val="13"/>
        </w:numPr>
      </w:pPr>
      <w:r>
        <w:rPr>
          <w:b/>
          <w:bCs/>
          <w:u w:val="single"/>
        </w:rPr>
        <w:t>Issue #2</w:t>
      </w:r>
      <w:r>
        <w:t>: Relates to the accuracy of the measurement(s) used as input(s) to the AI/ML model to guarantee that the UE predicted measurement meets the requirements for L3-based mobility.</w:t>
      </w:r>
    </w:p>
    <w:p w14:paraId="1EE44AF9">
      <w:r>
        <w:br w:type="textWrapping"/>
      </w:r>
      <w:r>
        <w:t>The agreement reached in RAN4#114 and the WF from RAN4#114bis concerns the issue #1 above. Due to the limited TU allocation, RAN4 may not have time to invest on running evaluations to resolve issue #1 and therefore it is likely that issue #1 remains unresolved by the end of the study item phase. This should however not limit RAN4 to acknowledge issue #2 that needs to be studied to ensure that the UE predicted measurement meets the requirements for L3-based mobility.</w:t>
      </w:r>
    </w:p>
    <w:p w14:paraId="60DBD793">
      <w:r>
        <w:rPr>
          <w:b/>
          <w:bCs/>
          <w:u w:val="single"/>
        </w:rPr>
        <w:br w:type="textWrapping"/>
      </w:r>
      <w:r>
        <w:rPr>
          <w:b/>
          <w:bCs/>
          <w:u w:val="single"/>
        </w:rPr>
        <w:t>Proposal 1</w:t>
      </w:r>
      <w:r>
        <w:t>: RAN4 to identify required accuracy for the measurement(s) used as input(s) to the AI/ML model to guarantee the UE predicted measurement meets the requirements for L3-based mobility.</w:t>
      </w:r>
    </w:p>
    <w:p w14:paraId="1CCB7F50">
      <w:r>
        <w:rPr>
          <w:color w:val="FF0000"/>
        </w:rPr>
        <w:br w:type="textWrapping"/>
      </w:r>
      <w:r>
        <w:t>To streamline the discussion on handling the impact of error in input measurement on the accuracy of the predicted measurement, it is important to establish an understanding in terms of the performance requirement RAN4 anticipates to be met by AI/ML aided mobility measurement reporting. The fact that the network needs to make consistent mobility decisions for the UEs reporting the predicted measurements, and the UEs reporting the measured measurements, it is important that the predicted and measured measurements are confined within the same accuracy threshold. One way to achieve this is by ensuring that the predicted measurements at least meet the accuracy requirements that are defined for non-AI/ML based RRM measurements for mobility purposes.</w:t>
      </w:r>
    </w:p>
    <w:p w14:paraId="4850CA5F">
      <w:r>
        <w:br w:type="textWrapping"/>
      </w:r>
      <w:r>
        <w:rPr>
          <w:b/>
          <w:bCs/>
          <w:u w:val="single"/>
        </w:rPr>
        <w:t>Proposal 2</w:t>
      </w:r>
      <w:r>
        <w:t>: Predicted measurements should at least meet the accuracy requirements that are defined for the non-AI/ML based RRM measurement reporting for mobility purposes.</w:t>
      </w:r>
    </w:p>
    <w:p w14:paraId="4850CA61">
      <w:r>
        <w:br w:type="textWrapping"/>
      </w:r>
      <w:r>
        <w:t>In the last meeting statistical model to characterize the error in the measurement used as model input for RRM measurement prediction was discussed. No agreement on the error model could be reached, and therefore the following was captured in the WF document [1].</w:t>
      </w:r>
    </w:p>
    <w:p w14:paraId="0942B631">
      <w:pPr>
        <w:tabs>
          <w:tab w:val="left" w:pos="840"/>
        </w:tabs>
        <w:spacing w:after="120"/>
        <w:rPr>
          <w:rFonts w:eastAsia="Yu Mincho"/>
          <w:b/>
          <w:bCs/>
          <w:u w:val="single"/>
        </w:rPr>
      </w:pPr>
      <w:r>
        <w:rPr>
          <w:rFonts w:eastAsia="Yu Mincho"/>
          <w:b/>
          <w:bCs/>
          <w:u w:val="single"/>
        </w:rPr>
        <w:br w:type="textWrapping"/>
      </w:r>
      <w:r>
        <w:rPr>
          <w:rFonts w:eastAsia="Yu Mincho"/>
          <w:b/>
          <w:bCs/>
          <w:u w:val="single"/>
        </w:rPr>
        <w:t>WF from RAN4#114bis [2]</w:t>
      </w:r>
    </w:p>
    <w:p w14:paraId="20CA3AE9">
      <w:pPr>
        <w:pStyle w:val="172"/>
        <w:numPr>
          <w:ilvl w:val="0"/>
          <w:numId w:val="14"/>
        </w:numPr>
        <w:tabs>
          <w:tab w:val="left" w:pos="840"/>
        </w:tabs>
        <w:overflowPunct w:val="0"/>
        <w:autoSpaceDE w:val="0"/>
        <w:autoSpaceDN w:val="0"/>
        <w:adjustRightInd w:val="0"/>
        <w:spacing w:before="0" w:beforeAutospacing="0" w:after="120"/>
        <w:contextualSpacing w:val="0"/>
        <w:textAlignment w:val="baseline"/>
        <w:rPr>
          <w:i/>
          <w:iCs/>
          <w:color w:val="000000" w:themeColor="text1"/>
          <w:lang w:eastAsia="zh-CN"/>
          <w14:textFill>
            <w14:solidFill>
              <w14:schemeClr w14:val="tx1"/>
            </w14:solidFill>
          </w14:textFill>
        </w:rPr>
      </w:pPr>
      <w:r>
        <w:rPr>
          <w:rFonts w:eastAsia="Yu Mincho"/>
          <w:i/>
          <w:iCs/>
        </w:rPr>
        <w:t>Companies are encouraged to bring proposals on how to capture factors to be considered for error models to consider the impact of measurement errors on prediction accuracy.</w:t>
      </w:r>
    </w:p>
    <w:p w14:paraId="5F533AF7">
      <w:r>
        <w:br w:type="textWrapping"/>
      </w:r>
      <w:r>
        <w:t xml:space="preserve">The measurements performed by the UE are typically impacted by both RF impairment and the baseband error. To evaluate the impact of error in measurements used as input to the AI/ML model on accuracy of the predicted measurement both factors need to be considered in the simulations. Implementing RF impairment in a simulation setting is not straightforward as RF impairment can be due to many factors relating to hardware implementation. Exploiting a statistical model is therefore a reasonable approach to simplify the implementation of RF impairment in the simulation setting. To characterize RF impairment error in RAN4 simulation a truncated Gaussian distribution with zero mean and variance corresponding to the RF calibration error (±2.5dB for FR1 and ±4dB for FR2) for RSRP measurement can be considered. This is not only in line with the RAN4 assumptions for RF calibration error but is also aligned with the approach taken to evaluate the performance of AI/ML aided beam management [3]. </w:t>
      </w:r>
    </w:p>
    <w:p w14:paraId="188EF241">
      <w:r>
        <w:t>Baseband error on the other hand refers to the estimation error. For example, error made by the UE when estimating the RSRP of the SSB signal received from a cell/beam. Baseband error depends on the signal strength, reference signal bandwidth, noise, interference, propagation condition etc. that can be easily implemented and evaluated in a simulation setting. It is therefore our proposal that a statistical model to characterize baseband error is not needed.</w:t>
      </w:r>
    </w:p>
    <w:p w14:paraId="43DAD3D6">
      <w:r>
        <w:br w:type="textWrapping"/>
      </w:r>
      <w:r>
        <w:rPr>
          <w:b/>
          <w:bCs/>
          <w:u w:val="single"/>
        </w:rPr>
        <w:t>Proposal 3</w:t>
      </w:r>
      <w:r>
        <w:t>: Statistical model is used to only model RF error in the evaluations for impact of input measurement error on accuracy of predicted RRM measurements.</w:t>
      </w:r>
    </w:p>
    <w:p w14:paraId="19724406">
      <w:pPr>
        <w:pStyle w:val="172"/>
        <w:numPr>
          <w:ilvl w:val="0"/>
          <w:numId w:val="15"/>
        </w:numPr>
      </w:pPr>
      <w:r>
        <w:t xml:space="preserve">RF error in dB for FR1 is characterized by Gaussian distribution with </w:t>
      </w:r>
      <m:oMath>
        <m:sSup>
          <m:sSupPr>
            <m:ctrlPr>
              <w:rPr>
                <w:rFonts w:ascii="Cambria Math" w:hAnsi="Cambria Math"/>
                <w:i/>
              </w:rPr>
            </m:ctrlPr>
          </m:sSupPr>
          <m:e>
            <m:r>
              <m:rPr/>
              <w:rPr>
                <w:rFonts w:ascii="Cambria Math" w:hAnsi="Cambria Math"/>
              </w:rPr>
              <m:t>μ=0,  σ</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 xml:space="preserve"> </m:t>
        </m:r>
      </m:oMath>
      <w:r>
        <w:rPr>
          <w:rFonts w:hint="eastAsia"/>
        </w:rPr>
        <w:t>=</w:t>
      </w:r>
      <w:r>
        <w:t xml:space="preserve"> 2.5 truncated at ±2.5.</w:t>
      </w:r>
    </w:p>
    <w:p w14:paraId="73D1A4D9">
      <w:pPr>
        <w:pStyle w:val="172"/>
        <w:numPr>
          <w:ilvl w:val="0"/>
          <w:numId w:val="15"/>
        </w:numPr>
      </w:pPr>
      <w:r>
        <w:t xml:space="preserve">RF error in dB for FR2 is characterized by Gaussian distribution with </w:t>
      </w:r>
      <m:oMath>
        <m:sSup>
          <m:sSupPr>
            <m:ctrlPr>
              <w:rPr>
                <w:rFonts w:ascii="Cambria Math" w:hAnsi="Cambria Math"/>
                <w:i/>
              </w:rPr>
            </m:ctrlPr>
          </m:sSupPr>
          <m:e>
            <m:r>
              <m:rPr/>
              <w:rPr>
                <w:rFonts w:ascii="Cambria Math" w:hAnsi="Cambria Math"/>
              </w:rPr>
              <m:t>μ=0,  σ</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 xml:space="preserve"> </m:t>
        </m:r>
      </m:oMath>
      <w:r>
        <w:rPr>
          <w:rFonts w:hint="eastAsia"/>
        </w:rPr>
        <w:t>=</w:t>
      </w:r>
      <w:r>
        <w:t xml:space="preserve"> 4 truncated at ±4.</w:t>
      </w:r>
    </w:p>
    <w:p w14:paraId="6FA76639"/>
    <w:p w14:paraId="4850CA62">
      <w:pPr>
        <w:pStyle w:val="3"/>
      </w:pPr>
      <w:r>
        <w:t>Requirements for LCM</w:t>
      </w:r>
    </w:p>
    <w:p w14:paraId="4850CA63">
      <w:r>
        <w:t xml:space="preserve">The framework for LCM can be found in TR 38.843 [4]. The LCM framework consists of procedures for which requirements may need to be defined by RAN4. For example, activation/deactivation of the model, fallback to non-AI/ML operation, and performance monitoring are some of the procedures that will be executed by the UE for the case where the AI/ML model(s) for mobility is hosted by the UE. These procedures are being discussed in RAN4 to identify the potential requirements to be specified in the context of the Rel. 19 AI/ML for air interface work item. The agreements reached for the use cases supported in AI/ML for air interface can either be potentially applied to the AI/ML based mobility or can be used as a starting point for the discussion to take aspects that are specific to AI/ML based mobility into account. </w:t>
      </w:r>
    </w:p>
    <w:p w14:paraId="4850CA64">
      <w:r>
        <w:t>For AI/ML aided mobility, AI/ML model can also be deployed at the network side. The network in this scenario may configure UE to report the measurements for training and or inference purposes commonly addressed by data collection procedure within the LCM framework in [4]. As the performance of the AI/ML model at the network side relies on the data reported by the UE, RAN4 should discuss to identify relevant requirements for the data collection procedure for the network sided model.</w:t>
      </w:r>
      <w:r>
        <w:br w:type="textWrapping"/>
      </w:r>
    </w:p>
    <w:p w14:paraId="4850CA65">
      <w:r>
        <w:rPr>
          <w:b/>
          <w:bCs/>
          <w:u w:val="single"/>
        </w:rPr>
        <w:t>Proposal 4</w:t>
      </w:r>
      <w:r>
        <w:t>: RAN4 to identify requirements for UE reporting measurements for data collection for network sided model for AI/ML based mobility.</w:t>
      </w:r>
      <w:r>
        <w:br w:type="textWrapping"/>
      </w:r>
      <w:r>
        <w:rPr>
          <w:b/>
          <w:bCs/>
          <w:u w:val="single"/>
        </w:rPr>
        <w:br w:type="textWrapping"/>
      </w:r>
    </w:p>
    <w:p w14:paraId="7F2C1EDF">
      <w:pPr>
        <w:pStyle w:val="3"/>
      </w:pPr>
      <w:r>
        <w:t>View on scenarios to be captured in TR</w:t>
      </w:r>
    </w:p>
    <w:p w14:paraId="48C202D9">
      <w:r>
        <w:t xml:space="preserve">For AI/ML aided mobility, RAN2 identified 6 scenarios in </w:t>
      </w:r>
      <w:r>
        <w:fldChar w:fldCharType="begin"/>
      </w:r>
      <w:r>
        <w:instrText xml:space="preserve"> REF _Ref196817578 \h </w:instrText>
      </w:r>
      <w:r>
        <w:fldChar w:fldCharType="separate"/>
      </w:r>
      <w:r>
        <w:t>Table 1</w:t>
      </w:r>
      <w:r>
        <w:fldChar w:fldCharType="end"/>
      </w:r>
      <w:r>
        <w:t xml:space="preserve"> and prioritized scenarios 2, 3, and 4 for evaluation purpose only. Following the RAN2 prioritization, RAN4 agreed in RAN4#112bis meeting to also prioritize scenarios 2, 3, and 4 to study the impact of AI/ML aided mobility on RAN4 requirements with an objective to align RAN4 effort with RAN2 [5]. Where the agreement to prioritize scenarios allowed RAN4 to make an efficient use of the TU allocated for the study item, the agreement should however not be interpreted to limit frequency prediction use case to FR1 and temporal domain prediction to FR2 for example. Though RAN4 may not investigate the impact of AI/ML aided mobility in scenarios 1, 5, and 6 in the study item phase, the discussion on requirement for these scenarios shall not be precluded in the normative phase based on the scenario’s prioritization agreement reached in the study item phase. There may be a risk of misinterpretation of the agreement for scenario prioritization given that the v0.0.4 of TR38.744 contains a note (copied below for reference purpose) for Table 5.2.1-1 that says the table of scenarios will be removed in the final version of the TR. It is therefore our proposal to either make an agreement in RAN4 to ensure that the agreement on scenario prioritization in the study item phase should not limit the discussion on impact on RAN4 requirement for scenario 1, 5, and 6 in the normative phase provided the reporting framework for AI/ML aided mobility supports them or capture all scenarios at least in the RAN4 section with a note to clarify that scenarios 2, 3, and 4 were prioritized in study item but requirements for scenarios 1, 5, and 6 are not precluded to be specified.</w:t>
      </w:r>
      <w:r>
        <w:br w:type="textWrapping"/>
      </w:r>
    </w:p>
    <w:p w14:paraId="27D1D65B">
      <w:r>
        <w:rPr>
          <w:b/>
          <w:bCs/>
          <w:u w:val="single"/>
        </w:rPr>
        <w:t>Note from v0.0.4 of TR38.744 [6]</w:t>
      </w:r>
      <w:r>
        <w:t>:</w:t>
      </w:r>
    </w:p>
    <w:p w14:paraId="567230BA">
      <w:pPr>
        <w:pStyle w:val="172"/>
        <w:numPr>
          <w:ilvl w:val="0"/>
          <w:numId w:val="16"/>
        </w:numPr>
      </w:pPr>
      <w:r>
        <w:rPr>
          <w:i/>
          <w:iCs/>
        </w:rPr>
        <w:t>Editor Note 3: The table 5.2.1-1 is captured for study purpose. It may be removed in the final TR</w:t>
      </w:r>
      <w:r>
        <w:t xml:space="preserve">.        </w:t>
      </w:r>
      <w:r>
        <w:br w:type="textWrapping"/>
      </w:r>
    </w:p>
    <w:p w14:paraId="6E6444B4">
      <w:pPr>
        <w:pStyle w:val="20"/>
        <w:keepNext/>
      </w:pPr>
      <w:bookmarkStart w:id="2" w:name="_Ref196817578"/>
      <w:r>
        <w:t xml:space="preserve">Table </w:t>
      </w:r>
      <w:r>
        <w:fldChar w:fldCharType="begin"/>
      </w:r>
      <w:r>
        <w:instrText xml:space="preserve"> SEQ Table \* ARABIC </w:instrText>
      </w:r>
      <w:r>
        <w:fldChar w:fldCharType="separate"/>
      </w:r>
      <w:r>
        <w:t>1</w:t>
      </w:r>
      <w:r>
        <w:fldChar w:fldCharType="end"/>
      </w:r>
      <w:bookmarkEnd w:id="2"/>
      <w:r>
        <w:t>. Scenarios for AI/ML aided mobility.</w:t>
      </w:r>
    </w:p>
    <w:tbl>
      <w:tblPr>
        <w:tblStyle w:val="59"/>
        <w:tblW w:w="87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4C79F985">
        <w:tc>
          <w:tcPr>
            <w:tcW w:w="1146" w:type="dxa"/>
            <w:tcBorders>
              <w:top w:val="single" w:color="auto" w:sz="4" w:space="0"/>
              <w:left w:val="single" w:color="auto" w:sz="4" w:space="0"/>
              <w:bottom w:val="single" w:color="auto" w:sz="4" w:space="0"/>
              <w:right w:val="single" w:color="auto" w:sz="4" w:space="0"/>
            </w:tcBorders>
          </w:tcPr>
          <w:p w14:paraId="17ACA940">
            <w:pPr>
              <w:spacing w:after="160" w:line="256" w:lineRule="auto"/>
              <w:textAlignment w:val="baseline"/>
              <w:rPr>
                <w:b/>
                <w:bCs/>
                <w:sz w:val="20"/>
                <w:szCs w:val="20"/>
                <w:lang w:val="en-GB" w:eastAsia="ko-KR"/>
              </w:rPr>
            </w:pPr>
            <w:r>
              <w:rPr>
                <w:b/>
                <w:bCs/>
                <w:sz w:val="20"/>
                <w:szCs w:val="20"/>
                <w:lang w:val="en-GB" w:eastAsia="ko-KR"/>
              </w:rPr>
              <w:t>Scenario number</w:t>
            </w:r>
          </w:p>
        </w:tc>
        <w:tc>
          <w:tcPr>
            <w:tcW w:w="1278" w:type="dxa"/>
            <w:tcBorders>
              <w:top w:val="single" w:color="auto" w:sz="4" w:space="0"/>
              <w:left w:val="nil"/>
              <w:bottom w:val="single" w:color="auto" w:sz="4" w:space="0"/>
              <w:right w:val="single" w:color="auto" w:sz="4" w:space="0"/>
            </w:tcBorders>
          </w:tcPr>
          <w:p w14:paraId="55E5B977">
            <w:pPr>
              <w:spacing w:after="160" w:line="256" w:lineRule="auto"/>
              <w:textAlignment w:val="baseline"/>
              <w:rPr>
                <w:b/>
                <w:bCs/>
                <w:sz w:val="20"/>
                <w:szCs w:val="20"/>
                <w:lang w:val="en-GB" w:eastAsia="ko-KR"/>
              </w:rPr>
            </w:pPr>
            <w:r>
              <w:rPr>
                <w:b/>
                <w:bCs/>
                <w:sz w:val="20"/>
                <w:szCs w:val="20"/>
                <w:lang w:val="en-GB" w:eastAsia="ko-KR"/>
              </w:rPr>
              <w:t xml:space="preserve">Priority </w:t>
            </w:r>
          </w:p>
        </w:tc>
        <w:tc>
          <w:tcPr>
            <w:tcW w:w="3769" w:type="dxa"/>
            <w:tcBorders>
              <w:top w:val="single" w:color="auto" w:sz="4" w:space="0"/>
              <w:left w:val="nil"/>
              <w:bottom w:val="single" w:color="auto" w:sz="4" w:space="0"/>
              <w:right w:val="single" w:color="auto" w:sz="4" w:space="0"/>
            </w:tcBorders>
          </w:tcPr>
          <w:p w14:paraId="6908F36D">
            <w:pPr>
              <w:spacing w:after="160" w:line="256" w:lineRule="auto"/>
              <w:textAlignment w:val="baseline"/>
              <w:rPr>
                <w:b/>
                <w:bCs/>
                <w:sz w:val="20"/>
                <w:szCs w:val="20"/>
                <w:lang w:val="en-GB" w:eastAsia="ko-KR"/>
              </w:rPr>
            </w:pPr>
            <w:r>
              <w:rPr>
                <w:b/>
                <w:bCs/>
                <w:sz w:val="20"/>
                <w:szCs w:val="20"/>
                <w:lang w:val="en-GB" w:eastAsia="ko-KR"/>
              </w:rPr>
              <w:t>Evaluation scenario</w:t>
            </w:r>
          </w:p>
        </w:tc>
        <w:tc>
          <w:tcPr>
            <w:tcW w:w="1262" w:type="dxa"/>
            <w:tcBorders>
              <w:top w:val="single" w:color="auto" w:sz="4" w:space="0"/>
              <w:left w:val="nil"/>
              <w:bottom w:val="single" w:color="auto" w:sz="4" w:space="0"/>
              <w:right w:val="single" w:color="auto" w:sz="4" w:space="0"/>
            </w:tcBorders>
          </w:tcPr>
          <w:p w14:paraId="176F9DB4">
            <w:pPr>
              <w:spacing w:after="160" w:line="256" w:lineRule="auto"/>
              <w:textAlignment w:val="baseline"/>
              <w:rPr>
                <w:b/>
                <w:bCs/>
                <w:sz w:val="20"/>
                <w:szCs w:val="20"/>
                <w:lang w:val="en-GB" w:eastAsia="ko-KR"/>
              </w:rPr>
            </w:pPr>
            <w:r>
              <w:rPr>
                <w:b/>
                <w:bCs/>
                <w:sz w:val="20"/>
                <w:szCs w:val="20"/>
                <w:lang w:val="en-GB" w:eastAsia="ko-KR"/>
              </w:rPr>
              <w:t>Target study goal</w:t>
            </w:r>
          </w:p>
        </w:tc>
        <w:tc>
          <w:tcPr>
            <w:tcW w:w="1339" w:type="dxa"/>
            <w:tcBorders>
              <w:top w:val="single" w:color="auto" w:sz="4" w:space="0"/>
              <w:left w:val="nil"/>
              <w:bottom w:val="single" w:color="auto" w:sz="4" w:space="0"/>
              <w:right w:val="single" w:color="auto" w:sz="4" w:space="0"/>
            </w:tcBorders>
          </w:tcPr>
          <w:p w14:paraId="3001B498">
            <w:pPr>
              <w:spacing w:after="160" w:line="256" w:lineRule="auto"/>
              <w:textAlignment w:val="baseline"/>
              <w:rPr>
                <w:b/>
                <w:bCs/>
                <w:sz w:val="20"/>
                <w:szCs w:val="20"/>
                <w:lang w:val="en-GB" w:eastAsia="ko-KR"/>
              </w:rPr>
            </w:pPr>
            <w:r>
              <w:rPr>
                <w:b/>
                <w:bCs/>
                <w:sz w:val="20"/>
                <w:szCs w:val="20"/>
                <w:lang w:val="en-GB" w:eastAsia="ko-KR"/>
              </w:rPr>
              <w:t>Methodology</w:t>
            </w:r>
          </w:p>
        </w:tc>
      </w:tr>
      <w:tr w14:paraId="55756F20">
        <w:tc>
          <w:tcPr>
            <w:tcW w:w="1146" w:type="dxa"/>
            <w:tcBorders>
              <w:top w:val="single" w:color="auto" w:sz="4" w:space="0"/>
              <w:left w:val="single" w:color="auto" w:sz="4" w:space="0"/>
              <w:bottom w:val="single" w:color="auto" w:sz="4" w:space="0"/>
              <w:right w:val="single" w:color="auto" w:sz="4" w:space="0"/>
            </w:tcBorders>
          </w:tcPr>
          <w:p w14:paraId="7E663609">
            <w:pPr>
              <w:spacing w:after="160" w:line="256" w:lineRule="auto"/>
              <w:textAlignment w:val="baseline"/>
              <w:rPr>
                <w:sz w:val="20"/>
                <w:szCs w:val="20"/>
                <w:lang w:val="en-GB" w:eastAsia="ko-KR"/>
              </w:rPr>
            </w:pPr>
            <w:r>
              <w:rPr>
                <w:sz w:val="20"/>
                <w:szCs w:val="20"/>
                <w:lang w:val="en-GB" w:eastAsia="ko-KR"/>
              </w:rPr>
              <w:t>1</w:t>
            </w:r>
          </w:p>
        </w:tc>
        <w:tc>
          <w:tcPr>
            <w:tcW w:w="1278" w:type="dxa"/>
            <w:tcBorders>
              <w:top w:val="single" w:color="auto" w:sz="4" w:space="0"/>
              <w:left w:val="nil"/>
              <w:bottom w:val="single" w:color="auto" w:sz="4" w:space="0"/>
              <w:right w:val="single" w:color="auto" w:sz="4" w:space="0"/>
            </w:tcBorders>
          </w:tcPr>
          <w:p w14:paraId="3233E57D">
            <w:pPr>
              <w:spacing w:after="160" w:line="256" w:lineRule="auto"/>
              <w:textAlignment w:val="baseline"/>
              <w:rPr>
                <w:sz w:val="20"/>
                <w:szCs w:val="20"/>
                <w:lang w:val="en-GB" w:eastAsia="ko-KR"/>
              </w:rPr>
            </w:pPr>
            <w:r>
              <w:rPr>
                <w:sz w:val="20"/>
                <w:szCs w:val="20"/>
                <w:lang w:val="en-GB" w:eastAsia="ko-KR"/>
              </w:rPr>
              <w:t>Low</w:t>
            </w:r>
          </w:p>
        </w:tc>
        <w:tc>
          <w:tcPr>
            <w:tcW w:w="3769" w:type="dxa"/>
            <w:tcBorders>
              <w:top w:val="single" w:color="auto" w:sz="4" w:space="0"/>
              <w:left w:val="nil"/>
              <w:bottom w:val="single" w:color="auto" w:sz="4" w:space="0"/>
              <w:right w:val="single" w:color="auto" w:sz="4" w:space="0"/>
            </w:tcBorders>
          </w:tcPr>
          <w:p w14:paraId="0BF7CDBF">
            <w:pPr>
              <w:spacing w:after="160" w:line="256" w:lineRule="auto"/>
              <w:textAlignment w:val="baseline"/>
              <w:rPr>
                <w:sz w:val="20"/>
                <w:szCs w:val="20"/>
                <w:lang w:val="en-GB" w:eastAsia="ko-KR"/>
              </w:rPr>
            </w:pPr>
            <w:r>
              <w:rPr>
                <w:sz w:val="20"/>
                <w:szCs w:val="20"/>
                <w:lang w:val="en-GB" w:eastAsia="ko-KR"/>
              </w:rPr>
              <w:t>FR1 to FR1 intra-frequency temporal domain case A</w:t>
            </w:r>
          </w:p>
        </w:tc>
        <w:tc>
          <w:tcPr>
            <w:tcW w:w="1262" w:type="dxa"/>
            <w:tcBorders>
              <w:top w:val="single" w:color="auto" w:sz="4" w:space="0"/>
              <w:left w:val="nil"/>
              <w:bottom w:val="single" w:color="auto" w:sz="4" w:space="0"/>
              <w:right w:val="single" w:color="auto" w:sz="4" w:space="0"/>
            </w:tcBorders>
          </w:tcPr>
          <w:p w14:paraId="3C9CC9FD">
            <w:pPr>
              <w:spacing w:after="160" w:line="256" w:lineRule="auto"/>
              <w:textAlignment w:val="baseline"/>
              <w:rPr>
                <w:sz w:val="20"/>
                <w:szCs w:val="20"/>
                <w:lang w:val="en-GB" w:eastAsia="ko-KR"/>
              </w:rPr>
            </w:pPr>
            <w:r>
              <w:rPr>
                <w:sz w:val="20"/>
                <w:szCs w:val="20"/>
                <w:lang w:val="en-GB" w:eastAsia="ko-KR"/>
              </w:rPr>
              <w:t>2</w:t>
            </w:r>
            <w:r>
              <w:rPr>
                <w:sz w:val="20"/>
                <w:szCs w:val="20"/>
                <w:vertAlign w:val="superscript"/>
                <w:lang w:val="en-GB" w:eastAsia="ko-KR"/>
              </w:rPr>
              <w:t>nd</w:t>
            </w:r>
            <w:r>
              <w:rPr>
                <w:sz w:val="20"/>
                <w:szCs w:val="20"/>
                <w:lang w:val="en-GB" w:eastAsia="ko-KR"/>
              </w:rPr>
              <w:t xml:space="preserve"> goal</w:t>
            </w:r>
          </w:p>
        </w:tc>
        <w:tc>
          <w:tcPr>
            <w:tcW w:w="1339" w:type="dxa"/>
            <w:tcBorders>
              <w:top w:val="single" w:color="auto" w:sz="4" w:space="0"/>
              <w:left w:val="nil"/>
              <w:bottom w:val="single" w:color="auto" w:sz="4" w:space="0"/>
              <w:right w:val="single" w:color="auto" w:sz="4" w:space="0"/>
            </w:tcBorders>
          </w:tcPr>
          <w:p w14:paraId="65FDD230">
            <w:pPr>
              <w:spacing w:after="160" w:line="256" w:lineRule="auto"/>
              <w:textAlignment w:val="baseline"/>
              <w:rPr>
                <w:sz w:val="20"/>
                <w:szCs w:val="20"/>
                <w:lang w:val="en-GB" w:eastAsia="ko-KR"/>
              </w:rPr>
            </w:pPr>
            <w:r>
              <w:rPr>
                <w:sz w:val="20"/>
                <w:szCs w:val="20"/>
                <w:lang w:val="en-GB" w:eastAsia="ko-KR"/>
              </w:rPr>
              <w:t>TBD</w:t>
            </w:r>
          </w:p>
        </w:tc>
      </w:tr>
      <w:tr w14:paraId="1A6C018B">
        <w:tc>
          <w:tcPr>
            <w:tcW w:w="1146" w:type="dxa"/>
            <w:tcBorders>
              <w:top w:val="single" w:color="auto" w:sz="4" w:space="0"/>
              <w:left w:val="single" w:color="auto" w:sz="4" w:space="0"/>
              <w:bottom w:val="single" w:color="auto" w:sz="4" w:space="0"/>
              <w:right w:val="single" w:color="auto" w:sz="4" w:space="0"/>
            </w:tcBorders>
          </w:tcPr>
          <w:p w14:paraId="153509DA">
            <w:pPr>
              <w:spacing w:after="160" w:line="256" w:lineRule="auto"/>
              <w:textAlignment w:val="baseline"/>
              <w:rPr>
                <w:sz w:val="20"/>
                <w:szCs w:val="20"/>
                <w:lang w:val="en-GB" w:eastAsia="ko-KR"/>
              </w:rPr>
            </w:pPr>
            <w:r>
              <w:rPr>
                <w:sz w:val="20"/>
                <w:szCs w:val="20"/>
                <w:lang w:val="en-GB" w:eastAsia="ko-KR"/>
              </w:rPr>
              <w:t>2</w:t>
            </w:r>
          </w:p>
        </w:tc>
        <w:tc>
          <w:tcPr>
            <w:tcW w:w="1278" w:type="dxa"/>
            <w:tcBorders>
              <w:top w:val="single" w:color="auto" w:sz="4" w:space="0"/>
              <w:left w:val="nil"/>
              <w:bottom w:val="single" w:color="auto" w:sz="4" w:space="0"/>
              <w:right w:val="single" w:color="auto" w:sz="4" w:space="0"/>
            </w:tcBorders>
          </w:tcPr>
          <w:p w14:paraId="2EC7A0E6">
            <w:pPr>
              <w:spacing w:after="160" w:line="256" w:lineRule="auto"/>
              <w:textAlignment w:val="baseline"/>
              <w:rPr>
                <w:sz w:val="20"/>
                <w:szCs w:val="20"/>
                <w:lang w:val="en-GB" w:eastAsia="ko-KR"/>
              </w:rPr>
            </w:pPr>
            <w:r>
              <w:rPr>
                <w:sz w:val="20"/>
                <w:szCs w:val="20"/>
                <w:lang w:val="en-GB" w:eastAsia="ko-KR"/>
              </w:rPr>
              <w:t>High</w:t>
            </w:r>
          </w:p>
        </w:tc>
        <w:tc>
          <w:tcPr>
            <w:tcW w:w="3769" w:type="dxa"/>
            <w:tcBorders>
              <w:top w:val="single" w:color="auto" w:sz="4" w:space="0"/>
              <w:left w:val="nil"/>
              <w:bottom w:val="single" w:color="auto" w:sz="4" w:space="0"/>
              <w:right w:val="single" w:color="auto" w:sz="4" w:space="0"/>
            </w:tcBorders>
          </w:tcPr>
          <w:p w14:paraId="3B7473F1">
            <w:pPr>
              <w:spacing w:after="160" w:line="256" w:lineRule="auto"/>
              <w:textAlignment w:val="baseline"/>
              <w:rPr>
                <w:sz w:val="20"/>
                <w:szCs w:val="20"/>
                <w:lang w:val="en-GB" w:eastAsia="ko-KR"/>
              </w:rPr>
            </w:pPr>
            <w:r>
              <w:rPr>
                <w:sz w:val="20"/>
                <w:szCs w:val="20"/>
                <w:lang w:val="en-GB" w:eastAsia="ko-KR"/>
              </w:rPr>
              <w:t>FR1 to FR1 intra-frequency temporal domain case B</w:t>
            </w:r>
          </w:p>
        </w:tc>
        <w:tc>
          <w:tcPr>
            <w:tcW w:w="1262" w:type="dxa"/>
            <w:tcBorders>
              <w:top w:val="single" w:color="auto" w:sz="4" w:space="0"/>
              <w:left w:val="nil"/>
              <w:bottom w:val="single" w:color="auto" w:sz="4" w:space="0"/>
              <w:right w:val="single" w:color="auto" w:sz="4" w:space="0"/>
            </w:tcBorders>
          </w:tcPr>
          <w:p w14:paraId="7D90BCF6">
            <w:pPr>
              <w:spacing w:after="160" w:line="256" w:lineRule="auto"/>
              <w:textAlignment w:val="baseline"/>
              <w:rPr>
                <w:sz w:val="20"/>
                <w:szCs w:val="20"/>
                <w:lang w:val="en-GB" w:eastAsia="ko-KR"/>
              </w:rPr>
            </w:pPr>
            <w:r>
              <w:rPr>
                <w:sz w:val="20"/>
                <w:szCs w:val="20"/>
                <w:lang w:val="en-GB" w:eastAsia="ko-KR"/>
              </w:rPr>
              <w:t>1</w:t>
            </w:r>
            <w:r>
              <w:rPr>
                <w:sz w:val="20"/>
                <w:szCs w:val="20"/>
                <w:vertAlign w:val="superscript"/>
                <w:lang w:val="en-GB" w:eastAsia="ko-KR"/>
              </w:rPr>
              <w:t>st</w:t>
            </w:r>
            <w:r>
              <w:rPr>
                <w:sz w:val="20"/>
                <w:szCs w:val="20"/>
                <w:lang w:val="en-GB" w:eastAsia="ko-KR"/>
              </w:rPr>
              <w:t xml:space="preserve"> goal</w:t>
            </w:r>
          </w:p>
        </w:tc>
        <w:tc>
          <w:tcPr>
            <w:tcW w:w="1339" w:type="dxa"/>
            <w:tcBorders>
              <w:top w:val="single" w:color="auto" w:sz="4" w:space="0"/>
              <w:left w:val="nil"/>
              <w:bottom w:val="single" w:color="auto" w:sz="4" w:space="0"/>
              <w:right w:val="single" w:color="auto" w:sz="4" w:space="0"/>
            </w:tcBorders>
          </w:tcPr>
          <w:p w14:paraId="34AE3675">
            <w:pPr>
              <w:spacing w:after="160" w:line="256" w:lineRule="auto"/>
              <w:textAlignment w:val="baseline"/>
              <w:rPr>
                <w:sz w:val="20"/>
                <w:szCs w:val="20"/>
                <w:vertAlign w:val="superscript"/>
                <w:lang w:val="en-GB" w:eastAsia="ko-KR"/>
              </w:rPr>
            </w:pPr>
            <w:r>
              <w:rPr>
                <w:sz w:val="20"/>
                <w:szCs w:val="20"/>
                <w:lang w:val="en-GB" w:eastAsia="ko-KR"/>
              </w:rPr>
              <w:t>Intra-cell</w:t>
            </w:r>
          </w:p>
        </w:tc>
      </w:tr>
      <w:tr w14:paraId="7FAA934F">
        <w:tc>
          <w:tcPr>
            <w:tcW w:w="1146" w:type="dxa"/>
            <w:tcBorders>
              <w:top w:val="single" w:color="auto" w:sz="4" w:space="0"/>
              <w:left w:val="single" w:color="auto" w:sz="4" w:space="0"/>
              <w:bottom w:val="single" w:color="auto" w:sz="4" w:space="0"/>
              <w:right w:val="single" w:color="auto" w:sz="4" w:space="0"/>
            </w:tcBorders>
          </w:tcPr>
          <w:p w14:paraId="3C83FF92">
            <w:pPr>
              <w:spacing w:after="160" w:line="256" w:lineRule="auto"/>
              <w:textAlignment w:val="baseline"/>
              <w:rPr>
                <w:sz w:val="20"/>
                <w:szCs w:val="20"/>
                <w:lang w:val="en-GB" w:eastAsia="ko-KR"/>
              </w:rPr>
            </w:pPr>
            <w:r>
              <w:rPr>
                <w:sz w:val="20"/>
                <w:szCs w:val="20"/>
                <w:lang w:val="en-GB" w:eastAsia="ko-KR"/>
              </w:rPr>
              <w:t>3</w:t>
            </w:r>
          </w:p>
        </w:tc>
        <w:tc>
          <w:tcPr>
            <w:tcW w:w="1278" w:type="dxa"/>
            <w:tcBorders>
              <w:top w:val="single" w:color="auto" w:sz="4" w:space="0"/>
              <w:left w:val="nil"/>
              <w:bottom w:val="single" w:color="auto" w:sz="4" w:space="0"/>
              <w:right w:val="single" w:color="auto" w:sz="4" w:space="0"/>
            </w:tcBorders>
          </w:tcPr>
          <w:p w14:paraId="2EF06838">
            <w:pPr>
              <w:spacing w:after="160" w:line="256" w:lineRule="auto"/>
              <w:textAlignment w:val="baseline"/>
              <w:rPr>
                <w:sz w:val="20"/>
                <w:szCs w:val="20"/>
                <w:lang w:val="en-GB" w:eastAsia="ko-KR"/>
              </w:rPr>
            </w:pPr>
            <w:r>
              <w:rPr>
                <w:sz w:val="20"/>
                <w:szCs w:val="20"/>
                <w:lang w:val="en-GB" w:eastAsia="ko-KR"/>
              </w:rPr>
              <w:t>High</w:t>
            </w:r>
          </w:p>
        </w:tc>
        <w:tc>
          <w:tcPr>
            <w:tcW w:w="3769" w:type="dxa"/>
            <w:tcBorders>
              <w:top w:val="single" w:color="auto" w:sz="4" w:space="0"/>
              <w:left w:val="nil"/>
              <w:bottom w:val="single" w:color="auto" w:sz="4" w:space="0"/>
              <w:right w:val="single" w:color="auto" w:sz="4" w:space="0"/>
            </w:tcBorders>
          </w:tcPr>
          <w:p w14:paraId="57DB0090">
            <w:pPr>
              <w:spacing w:after="160" w:line="256" w:lineRule="auto"/>
              <w:textAlignment w:val="baseline"/>
              <w:rPr>
                <w:sz w:val="20"/>
                <w:szCs w:val="20"/>
                <w:lang w:val="en-GB" w:eastAsia="ko-KR"/>
              </w:rPr>
            </w:pPr>
            <w:r>
              <w:rPr>
                <w:sz w:val="20"/>
                <w:szCs w:val="20"/>
                <w:lang w:val="en-GB" w:eastAsia="ko-KR"/>
              </w:rPr>
              <w:t>FR1 to FR1 inter-frequency (frequency domain)</w:t>
            </w:r>
          </w:p>
        </w:tc>
        <w:tc>
          <w:tcPr>
            <w:tcW w:w="1262" w:type="dxa"/>
            <w:tcBorders>
              <w:top w:val="single" w:color="auto" w:sz="4" w:space="0"/>
              <w:left w:val="nil"/>
              <w:bottom w:val="single" w:color="auto" w:sz="4" w:space="0"/>
              <w:right w:val="single" w:color="auto" w:sz="4" w:space="0"/>
            </w:tcBorders>
          </w:tcPr>
          <w:p w14:paraId="07B17473">
            <w:pPr>
              <w:spacing w:after="160" w:line="256" w:lineRule="auto"/>
              <w:textAlignment w:val="baseline"/>
              <w:rPr>
                <w:sz w:val="20"/>
                <w:szCs w:val="20"/>
                <w:lang w:val="en-GB" w:eastAsia="ko-KR"/>
              </w:rPr>
            </w:pPr>
            <w:r>
              <w:rPr>
                <w:sz w:val="20"/>
                <w:szCs w:val="20"/>
                <w:lang w:val="en-GB" w:eastAsia="ko-KR"/>
              </w:rPr>
              <w:t>1</w:t>
            </w:r>
            <w:r>
              <w:rPr>
                <w:sz w:val="20"/>
                <w:szCs w:val="20"/>
                <w:vertAlign w:val="superscript"/>
                <w:lang w:val="en-GB" w:eastAsia="ko-KR"/>
              </w:rPr>
              <w:t>st</w:t>
            </w:r>
            <w:r>
              <w:rPr>
                <w:sz w:val="20"/>
                <w:szCs w:val="20"/>
                <w:lang w:val="en-GB" w:eastAsia="ko-KR"/>
              </w:rPr>
              <w:t xml:space="preserve"> goal</w:t>
            </w:r>
          </w:p>
        </w:tc>
        <w:tc>
          <w:tcPr>
            <w:tcW w:w="1339" w:type="dxa"/>
            <w:tcBorders>
              <w:top w:val="single" w:color="auto" w:sz="4" w:space="0"/>
              <w:left w:val="nil"/>
              <w:bottom w:val="single" w:color="auto" w:sz="4" w:space="0"/>
              <w:right w:val="single" w:color="auto" w:sz="4" w:space="0"/>
            </w:tcBorders>
          </w:tcPr>
          <w:p w14:paraId="3DCD14FA">
            <w:pPr>
              <w:spacing w:after="160" w:line="256" w:lineRule="auto"/>
              <w:textAlignment w:val="baseline"/>
              <w:rPr>
                <w:sz w:val="20"/>
                <w:szCs w:val="20"/>
                <w:lang w:val="en-GB" w:eastAsia="ko-KR"/>
              </w:rPr>
            </w:pPr>
            <w:r>
              <w:rPr>
                <w:sz w:val="20"/>
                <w:szCs w:val="20"/>
                <w:lang w:val="en-GB" w:eastAsia="ko-KR"/>
              </w:rPr>
              <w:t xml:space="preserve">Inter-cell </w:t>
            </w:r>
          </w:p>
        </w:tc>
      </w:tr>
      <w:tr w14:paraId="7C9C59F7">
        <w:tc>
          <w:tcPr>
            <w:tcW w:w="1146" w:type="dxa"/>
            <w:tcBorders>
              <w:top w:val="single" w:color="auto" w:sz="4" w:space="0"/>
              <w:left w:val="single" w:color="auto" w:sz="4" w:space="0"/>
              <w:bottom w:val="single" w:color="auto" w:sz="4" w:space="0"/>
              <w:right w:val="single" w:color="auto" w:sz="4" w:space="0"/>
            </w:tcBorders>
          </w:tcPr>
          <w:p w14:paraId="4DE22B65">
            <w:pPr>
              <w:spacing w:after="160" w:line="256" w:lineRule="auto"/>
              <w:textAlignment w:val="baseline"/>
              <w:rPr>
                <w:sz w:val="20"/>
                <w:szCs w:val="20"/>
                <w:lang w:val="en-GB" w:eastAsia="ko-KR"/>
              </w:rPr>
            </w:pPr>
            <w:r>
              <w:rPr>
                <w:sz w:val="20"/>
                <w:szCs w:val="20"/>
                <w:lang w:val="en-GB" w:eastAsia="ko-KR"/>
              </w:rPr>
              <w:t>4</w:t>
            </w:r>
          </w:p>
        </w:tc>
        <w:tc>
          <w:tcPr>
            <w:tcW w:w="1278" w:type="dxa"/>
            <w:tcBorders>
              <w:top w:val="single" w:color="auto" w:sz="4" w:space="0"/>
              <w:left w:val="nil"/>
              <w:bottom w:val="single" w:color="auto" w:sz="4" w:space="0"/>
              <w:right w:val="single" w:color="auto" w:sz="4" w:space="0"/>
            </w:tcBorders>
          </w:tcPr>
          <w:p w14:paraId="78A79888">
            <w:pPr>
              <w:spacing w:after="160" w:line="256" w:lineRule="auto"/>
              <w:textAlignment w:val="baseline"/>
              <w:rPr>
                <w:sz w:val="20"/>
                <w:szCs w:val="20"/>
                <w:lang w:val="en-GB" w:eastAsia="ko-KR"/>
              </w:rPr>
            </w:pPr>
            <w:r>
              <w:rPr>
                <w:sz w:val="20"/>
                <w:szCs w:val="20"/>
                <w:lang w:val="en-GB" w:eastAsia="ko-KR"/>
              </w:rPr>
              <w:t>High</w:t>
            </w:r>
          </w:p>
        </w:tc>
        <w:tc>
          <w:tcPr>
            <w:tcW w:w="3769" w:type="dxa"/>
            <w:tcBorders>
              <w:top w:val="single" w:color="auto" w:sz="4" w:space="0"/>
              <w:left w:val="nil"/>
              <w:bottom w:val="single" w:color="auto" w:sz="4" w:space="0"/>
              <w:right w:val="single" w:color="auto" w:sz="4" w:space="0"/>
            </w:tcBorders>
          </w:tcPr>
          <w:p w14:paraId="50938740">
            <w:pPr>
              <w:spacing w:after="160" w:line="256" w:lineRule="auto"/>
              <w:textAlignment w:val="baseline"/>
              <w:rPr>
                <w:sz w:val="20"/>
                <w:szCs w:val="20"/>
                <w:lang w:val="en-GB" w:eastAsia="ko-KR"/>
              </w:rPr>
            </w:pPr>
            <w:r>
              <w:rPr>
                <w:sz w:val="20"/>
                <w:szCs w:val="20"/>
                <w:lang w:val="en-GB" w:eastAsia="ko-KR"/>
              </w:rPr>
              <w:t>FR2 to FR2 intra-frequency temporal domain case A</w:t>
            </w:r>
          </w:p>
        </w:tc>
        <w:tc>
          <w:tcPr>
            <w:tcW w:w="1262" w:type="dxa"/>
            <w:tcBorders>
              <w:top w:val="single" w:color="auto" w:sz="4" w:space="0"/>
              <w:left w:val="nil"/>
              <w:bottom w:val="single" w:color="auto" w:sz="4" w:space="0"/>
              <w:right w:val="single" w:color="auto" w:sz="4" w:space="0"/>
            </w:tcBorders>
          </w:tcPr>
          <w:p w14:paraId="46B88707">
            <w:pPr>
              <w:spacing w:after="160" w:line="256" w:lineRule="auto"/>
              <w:textAlignment w:val="baseline"/>
              <w:rPr>
                <w:sz w:val="20"/>
                <w:szCs w:val="20"/>
                <w:lang w:val="en-GB" w:eastAsia="ko-KR"/>
              </w:rPr>
            </w:pPr>
            <w:r>
              <w:rPr>
                <w:sz w:val="20"/>
                <w:szCs w:val="20"/>
                <w:lang w:val="en-GB" w:eastAsia="ko-KR"/>
              </w:rPr>
              <w:t>2</w:t>
            </w:r>
            <w:r>
              <w:rPr>
                <w:sz w:val="20"/>
                <w:szCs w:val="20"/>
                <w:vertAlign w:val="superscript"/>
                <w:lang w:val="en-GB" w:eastAsia="ko-KR"/>
              </w:rPr>
              <w:t>nd</w:t>
            </w:r>
            <w:r>
              <w:rPr>
                <w:sz w:val="20"/>
                <w:szCs w:val="20"/>
                <w:lang w:val="en-GB" w:eastAsia="ko-KR"/>
              </w:rPr>
              <w:t xml:space="preserve"> goal</w:t>
            </w:r>
          </w:p>
        </w:tc>
        <w:tc>
          <w:tcPr>
            <w:tcW w:w="1339" w:type="dxa"/>
            <w:tcBorders>
              <w:top w:val="single" w:color="auto" w:sz="4" w:space="0"/>
              <w:left w:val="nil"/>
              <w:bottom w:val="single" w:color="auto" w:sz="4" w:space="0"/>
              <w:right w:val="single" w:color="auto" w:sz="4" w:space="0"/>
            </w:tcBorders>
          </w:tcPr>
          <w:p w14:paraId="3020FD26">
            <w:pPr>
              <w:spacing w:after="160" w:line="256" w:lineRule="auto"/>
              <w:textAlignment w:val="baseline"/>
              <w:rPr>
                <w:sz w:val="20"/>
                <w:szCs w:val="20"/>
                <w:lang w:val="en-GB" w:eastAsia="ko-KR"/>
              </w:rPr>
            </w:pPr>
            <w:r>
              <w:rPr>
                <w:sz w:val="20"/>
                <w:szCs w:val="20"/>
                <w:lang w:val="en-GB" w:eastAsia="ko-KR"/>
              </w:rPr>
              <w:t>Intra-cell</w:t>
            </w:r>
          </w:p>
        </w:tc>
      </w:tr>
      <w:tr w14:paraId="62BE455F">
        <w:tc>
          <w:tcPr>
            <w:tcW w:w="1146" w:type="dxa"/>
            <w:tcBorders>
              <w:top w:val="single" w:color="auto" w:sz="4" w:space="0"/>
              <w:left w:val="single" w:color="auto" w:sz="4" w:space="0"/>
              <w:bottom w:val="single" w:color="auto" w:sz="4" w:space="0"/>
              <w:right w:val="single" w:color="auto" w:sz="4" w:space="0"/>
            </w:tcBorders>
          </w:tcPr>
          <w:p w14:paraId="15345DA8">
            <w:pPr>
              <w:spacing w:after="160" w:line="256" w:lineRule="auto"/>
              <w:textAlignment w:val="baseline"/>
              <w:rPr>
                <w:sz w:val="20"/>
                <w:szCs w:val="20"/>
                <w:lang w:val="en-GB" w:eastAsia="ko-KR"/>
              </w:rPr>
            </w:pPr>
            <w:r>
              <w:rPr>
                <w:sz w:val="20"/>
                <w:szCs w:val="20"/>
                <w:lang w:val="en-GB" w:eastAsia="ko-KR"/>
              </w:rPr>
              <w:t>5</w:t>
            </w:r>
          </w:p>
        </w:tc>
        <w:tc>
          <w:tcPr>
            <w:tcW w:w="1278" w:type="dxa"/>
            <w:tcBorders>
              <w:top w:val="single" w:color="auto" w:sz="4" w:space="0"/>
              <w:left w:val="nil"/>
              <w:bottom w:val="single" w:color="auto" w:sz="4" w:space="0"/>
              <w:right w:val="single" w:color="auto" w:sz="4" w:space="0"/>
            </w:tcBorders>
          </w:tcPr>
          <w:p w14:paraId="14F9B25A">
            <w:pPr>
              <w:spacing w:after="160" w:line="256" w:lineRule="auto"/>
              <w:textAlignment w:val="baseline"/>
              <w:rPr>
                <w:sz w:val="20"/>
                <w:szCs w:val="20"/>
                <w:lang w:val="en-GB" w:eastAsia="ko-KR"/>
              </w:rPr>
            </w:pPr>
            <w:r>
              <w:rPr>
                <w:sz w:val="20"/>
                <w:szCs w:val="20"/>
                <w:lang w:val="en-GB" w:eastAsia="ko-KR"/>
              </w:rPr>
              <w:t>Low</w:t>
            </w:r>
          </w:p>
        </w:tc>
        <w:tc>
          <w:tcPr>
            <w:tcW w:w="3769" w:type="dxa"/>
            <w:tcBorders>
              <w:top w:val="single" w:color="auto" w:sz="4" w:space="0"/>
              <w:left w:val="nil"/>
              <w:bottom w:val="single" w:color="auto" w:sz="4" w:space="0"/>
              <w:right w:val="single" w:color="auto" w:sz="4" w:space="0"/>
            </w:tcBorders>
          </w:tcPr>
          <w:p w14:paraId="4A3BE2A3">
            <w:pPr>
              <w:spacing w:after="160" w:line="256" w:lineRule="auto"/>
              <w:textAlignment w:val="baseline"/>
              <w:rPr>
                <w:sz w:val="20"/>
                <w:szCs w:val="20"/>
                <w:lang w:val="en-GB" w:eastAsia="ko-KR"/>
              </w:rPr>
            </w:pPr>
            <w:r>
              <w:rPr>
                <w:sz w:val="20"/>
                <w:szCs w:val="20"/>
                <w:lang w:val="en-GB" w:eastAsia="ko-KR"/>
              </w:rPr>
              <w:t>FR2 to FR2 intra-frequency temporal domain case B</w:t>
            </w:r>
          </w:p>
        </w:tc>
        <w:tc>
          <w:tcPr>
            <w:tcW w:w="1262" w:type="dxa"/>
            <w:tcBorders>
              <w:top w:val="single" w:color="auto" w:sz="4" w:space="0"/>
              <w:left w:val="nil"/>
              <w:bottom w:val="single" w:color="auto" w:sz="4" w:space="0"/>
              <w:right w:val="single" w:color="auto" w:sz="4" w:space="0"/>
            </w:tcBorders>
          </w:tcPr>
          <w:p w14:paraId="76726D0A">
            <w:pPr>
              <w:spacing w:after="160" w:line="256" w:lineRule="auto"/>
              <w:textAlignment w:val="baseline"/>
              <w:rPr>
                <w:sz w:val="20"/>
                <w:szCs w:val="20"/>
                <w:lang w:val="en-GB" w:eastAsia="ko-KR"/>
              </w:rPr>
            </w:pPr>
            <w:r>
              <w:rPr>
                <w:sz w:val="20"/>
                <w:szCs w:val="20"/>
                <w:lang w:val="en-GB" w:eastAsia="ko-KR"/>
              </w:rPr>
              <w:t>1</w:t>
            </w:r>
            <w:r>
              <w:rPr>
                <w:sz w:val="20"/>
                <w:szCs w:val="20"/>
                <w:vertAlign w:val="superscript"/>
                <w:lang w:val="en-GB" w:eastAsia="ko-KR"/>
              </w:rPr>
              <w:t>st</w:t>
            </w:r>
            <w:r>
              <w:rPr>
                <w:sz w:val="20"/>
                <w:szCs w:val="20"/>
                <w:lang w:val="en-GB" w:eastAsia="ko-KR"/>
              </w:rPr>
              <w:t xml:space="preserve"> goal</w:t>
            </w:r>
          </w:p>
        </w:tc>
        <w:tc>
          <w:tcPr>
            <w:tcW w:w="1339" w:type="dxa"/>
            <w:tcBorders>
              <w:top w:val="single" w:color="auto" w:sz="4" w:space="0"/>
              <w:left w:val="nil"/>
              <w:bottom w:val="single" w:color="auto" w:sz="4" w:space="0"/>
              <w:right w:val="single" w:color="auto" w:sz="4" w:space="0"/>
            </w:tcBorders>
          </w:tcPr>
          <w:p w14:paraId="1ECE1311">
            <w:pPr>
              <w:spacing w:after="160" w:line="256" w:lineRule="auto"/>
              <w:textAlignment w:val="baseline"/>
              <w:rPr>
                <w:sz w:val="20"/>
                <w:szCs w:val="20"/>
                <w:lang w:val="en-GB" w:eastAsia="ko-KR"/>
              </w:rPr>
            </w:pPr>
            <w:r>
              <w:rPr>
                <w:sz w:val="20"/>
                <w:szCs w:val="20"/>
                <w:lang w:val="en-GB" w:eastAsia="ko-KR"/>
              </w:rPr>
              <w:t>TBD</w:t>
            </w:r>
          </w:p>
        </w:tc>
      </w:tr>
      <w:tr w14:paraId="17CB3DE2">
        <w:tc>
          <w:tcPr>
            <w:tcW w:w="1146" w:type="dxa"/>
            <w:tcBorders>
              <w:top w:val="single" w:color="auto" w:sz="4" w:space="0"/>
              <w:left w:val="single" w:color="auto" w:sz="4" w:space="0"/>
              <w:bottom w:val="single" w:color="auto" w:sz="4" w:space="0"/>
              <w:right w:val="single" w:color="auto" w:sz="4" w:space="0"/>
            </w:tcBorders>
          </w:tcPr>
          <w:p w14:paraId="38783151">
            <w:pPr>
              <w:spacing w:after="160" w:line="256" w:lineRule="auto"/>
              <w:textAlignment w:val="baseline"/>
              <w:rPr>
                <w:sz w:val="20"/>
                <w:szCs w:val="20"/>
                <w:lang w:val="en-GB" w:eastAsia="ko-KR"/>
              </w:rPr>
            </w:pPr>
            <w:r>
              <w:rPr>
                <w:sz w:val="20"/>
                <w:szCs w:val="20"/>
                <w:lang w:val="en-GB" w:eastAsia="ko-KR"/>
              </w:rPr>
              <w:t>6</w:t>
            </w:r>
          </w:p>
        </w:tc>
        <w:tc>
          <w:tcPr>
            <w:tcW w:w="1278" w:type="dxa"/>
            <w:tcBorders>
              <w:top w:val="single" w:color="auto" w:sz="4" w:space="0"/>
              <w:left w:val="nil"/>
              <w:bottom w:val="single" w:color="auto" w:sz="4" w:space="0"/>
              <w:right w:val="single" w:color="auto" w:sz="4" w:space="0"/>
            </w:tcBorders>
          </w:tcPr>
          <w:p w14:paraId="7608C82A">
            <w:pPr>
              <w:spacing w:after="160" w:line="256" w:lineRule="auto"/>
              <w:textAlignment w:val="baseline"/>
              <w:rPr>
                <w:sz w:val="20"/>
                <w:szCs w:val="20"/>
                <w:lang w:val="en-GB" w:eastAsia="ko-KR"/>
              </w:rPr>
            </w:pPr>
            <w:r>
              <w:rPr>
                <w:sz w:val="20"/>
                <w:szCs w:val="20"/>
                <w:lang w:val="en-GB" w:eastAsia="ko-KR"/>
              </w:rPr>
              <w:t>Middle</w:t>
            </w:r>
          </w:p>
        </w:tc>
        <w:tc>
          <w:tcPr>
            <w:tcW w:w="3769" w:type="dxa"/>
            <w:tcBorders>
              <w:top w:val="single" w:color="auto" w:sz="4" w:space="0"/>
              <w:left w:val="nil"/>
              <w:bottom w:val="single" w:color="auto" w:sz="4" w:space="0"/>
              <w:right w:val="single" w:color="auto" w:sz="4" w:space="0"/>
            </w:tcBorders>
          </w:tcPr>
          <w:p w14:paraId="49F3E7FF">
            <w:pPr>
              <w:spacing w:after="160" w:line="256" w:lineRule="auto"/>
              <w:textAlignment w:val="baseline"/>
              <w:rPr>
                <w:sz w:val="20"/>
                <w:szCs w:val="20"/>
                <w:lang w:val="en-GB" w:eastAsia="ko-KR"/>
              </w:rPr>
            </w:pPr>
            <w:r>
              <w:rPr>
                <w:sz w:val="20"/>
                <w:szCs w:val="20"/>
                <w:lang w:val="en-GB" w:eastAsia="ko-KR"/>
              </w:rPr>
              <w:t>FR2 to FR2 intra-frequency spatial domain</w:t>
            </w:r>
          </w:p>
        </w:tc>
        <w:tc>
          <w:tcPr>
            <w:tcW w:w="1262" w:type="dxa"/>
            <w:tcBorders>
              <w:top w:val="single" w:color="auto" w:sz="4" w:space="0"/>
              <w:left w:val="nil"/>
              <w:bottom w:val="single" w:color="auto" w:sz="4" w:space="0"/>
              <w:right w:val="single" w:color="auto" w:sz="4" w:space="0"/>
            </w:tcBorders>
          </w:tcPr>
          <w:p w14:paraId="2D17FB54">
            <w:pPr>
              <w:spacing w:after="160" w:line="256" w:lineRule="auto"/>
              <w:textAlignment w:val="baseline"/>
              <w:rPr>
                <w:sz w:val="20"/>
                <w:szCs w:val="20"/>
                <w:lang w:val="en-GB" w:eastAsia="ko-KR"/>
              </w:rPr>
            </w:pPr>
            <w:r>
              <w:rPr>
                <w:sz w:val="20"/>
                <w:szCs w:val="20"/>
                <w:lang w:val="en-GB" w:eastAsia="ko-KR"/>
              </w:rPr>
              <w:t>1</w:t>
            </w:r>
            <w:r>
              <w:rPr>
                <w:sz w:val="20"/>
                <w:szCs w:val="20"/>
                <w:vertAlign w:val="superscript"/>
                <w:lang w:val="en-GB" w:eastAsia="ko-KR"/>
              </w:rPr>
              <w:t>st</w:t>
            </w:r>
            <w:r>
              <w:rPr>
                <w:sz w:val="20"/>
                <w:szCs w:val="20"/>
                <w:lang w:val="en-GB" w:eastAsia="ko-KR"/>
              </w:rPr>
              <w:t xml:space="preserve"> goal</w:t>
            </w:r>
          </w:p>
        </w:tc>
        <w:tc>
          <w:tcPr>
            <w:tcW w:w="1339" w:type="dxa"/>
            <w:tcBorders>
              <w:top w:val="single" w:color="auto" w:sz="4" w:space="0"/>
              <w:left w:val="nil"/>
              <w:bottom w:val="single" w:color="auto" w:sz="4" w:space="0"/>
              <w:right w:val="single" w:color="auto" w:sz="4" w:space="0"/>
            </w:tcBorders>
          </w:tcPr>
          <w:p w14:paraId="0C118941">
            <w:pPr>
              <w:spacing w:after="160" w:line="256" w:lineRule="auto"/>
              <w:textAlignment w:val="baseline"/>
              <w:rPr>
                <w:sz w:val="20"/>
                <w:szCs w:val="20"/>
                <w:lang w:val="en-GB" w:eastAsia="ko-KR"/>
              </w:rPr>
            </w:pPr>
            <w:r>
              <w:rPr>
                <w:sz w:val="20"/>
                <w:szCs w:val="20"/>
                <w:lang w:val="en-GB" w:eastAsia="ko-KR"/>
              </w:rPr>
              <w:t>Intra-cell</w:t>
            </w:r>
          </w:p>
        </w:tc>
      </w:tr>
    </w:tbl>
    <w:p w14:paraId="6988FE0B">
      <w:r>
        <w:rPr>
          <w:b/>
          <w:bCs/>
          <w:u w:val="single"/>
        </w:rPr>
        <w:br w:type="textWrapping"/>
      </w:r>
      <w:r>
        <w:rPr>
          <w:b/>
          <w:bCs/>
          <w:u w:val="single"/>
        </w:rPr>
        <w:t>Proposal 5</w:t>
      </w:r>
      <w:r>
        <w:t>: RAN4 to either make an agreement to ensure that the agreement on scenario prioritization in the study item phase does not limit discussion on impact on RAN4 requirement for scenario 1, 5, and 6 in the normative phase provided the reporting framework for AI/ML aided mobility supports them or capture all scenarios in section for RAN4 in TR38.744 with a note to clarify that discussion on scenarios 2, 3, and 4 were prioritized in study item but requirements for scenarios 1, 5, and 6 are not precluded to be specified.</w:t>
      </w:r>
      <w:r>
        <w:br w:type="textWrapping"/>
      </w:r>
      <w:r>
        <w:t xml:space="preserve">  </w:t>
      </w:r>
    </w:p>
    <w:p w14:paraId="4850CA66">
      <w:pPr>
        <w:pStyle w:val="2"/>
        <w:rPr>
          <w:lang w:val="en-US"/>
        </w:rPr>
      </w:pPr>
      <w:r>
        <w:rPr>
          <w:lang w:val="en-US"/>
        </w:rPr>
        <w:t>Summary</w:t>
      </w:r>
    </w:p>
    <w:p w14:paraId="3B4477AB">
      <w:r>
        <w:t>In this contribution generic issues related to AI/ML aided mobility are discussed. The following proposals summarize the discussions on the impact of measurement error on prediction accuracy, data collection for network sided model, and view on scenarios to be captured in the TR of the study item, presented in this paper.</w:t>
      </w:r>
    </w:p>
    <w:p w14:paraId="2A1A6060">
      <w:r>
        <w:rPr>
          <w:b/>
          <w:bCs/>
          <w:u w:val="single"/>
        </w:rPr>
        <w:t>Proposal 1</w:t>
      </w:r>
      <w:r>
        <w:t>: RAN4 to identify required accuracy for the measurement(s) used as input(s) to the AI/ML model to guarantee the UE predicted measurement meets the requirements for L3-based mobility.</w:t>
      </w:r>
    </w:p>
    <w:p w14:paraId="4850CA6A">
      <w:r>
        <w:rPr>
          <w:b/>
          <w:bCs/>
          <w:u w:val="single"/>
        </w:rPr>
        <w:br w:type="textWrapping"/>
      </w:r>
      <w:r>
        <w:rPr>
          <w:b/>
          <w:bCs/>
          <w:u w:val="single"/>
        </w:rPr>
        <w:t>Proposal 2</w:t>
      </w:r>
      <w:r>
        <w:t>: Predicted measurements should at least meet the accuracy requirements that are defined for the non-AI/ML based RRM measurement reporting for mobility purposes.</w:t>
      </w:r>
    </w:p>
    <w:p w14:paraId="7B0FE3C9">
      <w:r>
        <w:rPr>
          <w:b/>
          <w:bCs/>
          <w:u w:val="single"/>
        </w:rPr>
        <w:br w:type="textWrapping"/>
      </w:r>
      <w:r>
        <w:rPr>
          <w:b/>
          <w:bCs/>
          <w:u w:val="single"/>
        </w:rPr>
        <w:t>Proposal 3</w:t>
      </w:r>
      <w:r>
        <w:t>: Statistical model is used to only model RF error in the evaluations for impact of input measurement error on accuracy of predicted RRM measurements.</w:t>
      </w:r>
    </w:p>
    <w:p w14:paraId="2BA2806B">
      <w:pPr>
        <w:pStyle w:val="172"/>
        <w:numPr>
          <w:ilvl w:val="0"/>
          <w:numId w:val="15"/>
        </w:numPr>
      </w:pPr>
      <w:r>
        <w:t xml:space="preserve">RF error in dB for FR1 is characterized by Gaussian distribution with </w:t>
      </w:r>
      <m:oMath>
        <m:sSup>
          <m:sSupPr>
            <m:ctrlPr>
              <w:rPr>
                <w:rFonts w:ascii="Cambria Math" w:hAnsi="Cambria Math"/>
                <w:i/>
              </w:rPr>
            </m:ctrlPr>
          </m:sSupPr>
          <m:e>
            <m:r>
              <m:rPr/>
              <w:rPr>
                <w:rFonts w:ascii="Cambria Math" w:hAnsi="Cambria Math"/>
              </w:rPr>
              <m:t>μ=0,  σ</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 xml:space="preserve"> </m:t>
        </m:r>
      </m:oMath>
      <w:r>
        <w:rPr>
          <w:rFonts w:hint="eastAsia"/>
        </w:rPr>
        <w:t>=</w:t>
      </w:r>
      <w:r>
        <w:t xml:space="preserve"> 2.5 truncated at ±2.5.</w:t>
      </w:r>
    </w:p>
    <w:p w14:paraId="14256004">
      <w:pPr>
        <w:pStyle w:val="172"/>
        <w:numPr>
          <w:ilvl w:val="0"/>
          <w:numId w:val="15"/>
        </w:numPr>
      </w:pPr>
      <w:r>
        <w:t xml:space="preserve">RF error in dB for FR2 is characterized by Gaussian distribution with </w:t>
      </w:r>
      <m:oMath>
        <m:sSup>
          <m:sSupPr>
            <m:ctrlPr>
              <w:rPr>
                <w:rFonts w:ascii="Cambria Math" w:hAnsi="Cambria Math"/>
                <w:i/>
              </w:rPr>
            </m:ctrlPr>
          </m:sSupPr>
          <m:e>
            <m:r>
              <m:rPr/>
              <w:rPr>
                <w:rFonts w:ascii="Cambria Math" w:hAnsi="Cambria Math"/>
              </w:rPr>
              <m:t>μ=0,  σ</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 xml:space="preserve"> </m:t>
        </m:r>
      </m:oMath>
      <w:r>
        <w:rPr>
          <w:rFonts w:hint="eastAsia"/>
        </w:rPr>
        <w:t>=</w:t>
      </w:r>
      <w:r>
        <w:t xml:space="preserve"> 4 truncated at ±4.</w:t>
      </w:r>
    </w:p>
    <w:p w14:paraId="6DBAD428">
      <w:r>
        <w:rPr>
          <w:b/>
          <w:bCs/>
          <w:u w:val="single"/>
        </w:rPr>
        <w:br w:type="textWrapping"/>
      </w:r>
      <w:r>
        <w:rPr>
          <w:b/>
          <w:bCs/>
          <w:u w:val="single"/>
        </w:rPr>
        <w:t>Proposal 4</w:t>
      </w:r>
      <w:r>
        <w:t>: RAN4 to identify requirements for UE reporting measurements for data collection for network sided model for AI/ML based mobility.</w:t>
      </w:r>
    </w:p>
    <w:p w14:paraId="76E3408D">
      <w:r>
        <w:rPr>
          <w:b/>
          <w:bCs/>
          <w:u w:val="single"/>
        </w:rPr>
        <w:br w:type="textWrapping"/>
      </w:r>
      <w:r>
        <w:rPr>
          <w:b/>
          <w:bCs/>
          <w:u w:val="single"/>
        </w:rPr>
        <w:t>Proposal 5</w:t>
      </w:r>
      <w:r>
        <w:t>: RAN4 to either make an agreement to ensure that the agreement on scenario prioritization in the study item phase does not limit discussion on impact on RAN4 requirement for scenario 1, 5, and 6 in the normative phase provided the reporting framework for AI/ML aided mobility supports them or capture all scenarios in section for RAN4 in TR38.744 with a note to clarify that discussion on scenarios 2, 3, and 4 were prioritized in study item but requirements for scenarios 1, 5, and 6 are not precluded to be specified.</w:t>
      </w:r>
    </w:p>
    <w:p w14:paraId="4850CA6B">
      <w:pPr>
        <w:pStyle w:val="2"/>
        <w:tabs>
          <w:tab w:val="left" w:pos="432"/>
        </w:tabs>
        <w:ind w:left="432" w:right="72" w:hanging="432"/>
        <w:rPr>
          <w:lang w:val="en-US"/>
        </w:rPr>
      </w:pPr>
      <w:r>
        <w:rPr>
          <w:lang w:val="en-US"/>
        </w:rPr>
        <w:t>References</w:t>
      </w:r>
    </w:p>
    <w:bookmarkEnd w:id="0"/>
    <w:bookmarkEnd w:id="1"/>
    <w:p w14:paraId="4850CA6C">
      <w:pPr>
        <w:pStyle w:val="172"/>
        <w:spacing w:line="360" w:lineRule="auto"/>
      </w:pPr>
      <w:r>
        <w:t>R4-</w:t>
      </w:r>
      <w:r>
        <w:rPr>
          <w:szCs w:val="20"/>
        </w:rPr>
        <w:t>2502594</w:t>
      </w:r>
      <w:r>
        <w:t>, WF on AI/ML Mobility, Moderator (Nokia).</w:t>
      </w:r>
    </w:p>
    <w:p w14:paraId="7B57F004">
      <w:pPr>
        <w:pStyle w:val="172"/>
        <w:spacing w:line="360" w:lineRule="auto"/>
      </w:pPr>
      <w:r>
        <w:t>R4-2504901, WF on AI/ML Mobility, Moderator (Nokia).</w:t>
      </w:r>
    </w:p>
    <w:p w14:paraId="5B4AA7BC">
      <w:pPr>
        <w:pStyle w:val="172"/>
        <w:spacing w:line="360" w:lineRule="auto"/>
      </w:pPr>
      <w:r>
        <w:t>R4-2505152, Updated simulation assumptions for AI/ML BM, vivo, NTU, Nokia, Ericsson, Qualcomm, Xiaomi, Huawei, HiSilicon, MediaTek, OPPO, APPLE, Rohde &amp; Schwarz, CATT, Samsung, Intel, ZTE Corporation, Sanechips, CAICT.</w:t>
      </w:r>
    </w:p>
    <w:p w14:paraId="4850CA6D">
      <w:pPr>
        <w:pStyle w:val="172"/>
        <w:spacing w:line="360" w:lineRule="auto"/>
      </w:pPr>
      <w:r>
        <w:t>TR 38.843, Study on Artificial Intelligence (AI)/Machine Learning (ML) for NR air interface (Release 18), 3GPP.</w:t>
      </w:r>
    </w:p>
    <w:p w14:paraId="44606F25">
      <w:pPr>
        <w:pStyle w:val="172"/>
        <w:spacing w:line="360" w:lineRule="auto"/>
      </w:pPr>
      <w:r>
        <w:t>R4-2416855, WF on AI/ML Mobility, Moderator (Nokia).</w:t>
      </w:r>
    </w:p>
    <w:p w14:paraId="7704EED1">
      <w:pPr>
        <w:pStyle w:val="172"/>
        <w:spacing w:line="360" w:lineRule="auto"/>
      </w:pPr>
      <w:r>
        <w:t>TR 38.744 V0.0.4, Study on Artificial Intelligence (AI)/Machine Learning (ML) for mobility in NR, (Release 19).</w:t>
      </w:r>
      <w:bookmarkStart w:id="3" w:name="_GoBack"/>
      <w:bookmarkEnd w:id="3"/>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Thonburi"/>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1"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Yu Mincho">
    <w:altName w:val="Hiragino Sans"/>
    <w:panose1 w:val="02020400000000000000"/>
    <w:charset w:val="80"/>
    <w:family w:val="roman"/>
    <w:pitch w:val="default"/>
    <w:sig w:usb0="00000000" w:usb1="00000000" w:usb2="00000012" w:usb3="00000000" w:csb0="0002009F" w:csb1="00000000"/>
  </w:font>
  <w:font w:name="Cambria Math">
    <w:altName w:val="Kingsoft Math"/>
    <w:panose1 w:val="02040503050406030204"/>
    <w:charset w:val="00"/>
    <w:family w:val="roman"/>
    <w:pitch w:val="default"/>
    <w:sig w:usb0="00000000" w:usb1="00000000" w:usb2="00000000" w:usb3="00000000" w:csb0="000001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Helvetica Neue">
    <w:panose1 w:val="02000503000000020004"/>
    <w:charset w:val="00"/>
    <w:family w:val="auto"/>
    <w:pitch w:val="default"/>
    <w:sig w:usb0="E50002FF" w:usb1="500079DB" w:usb2="00000010" w:usb3="00000000" w:csb0="0000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0CA73">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0CA72">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0CA74">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B805763"/>
    <w:multiLevelType w:val="multilevel"/>
    <w:tmpl w:val="0B8057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1351AB"/>
    <w:multiLevelType w:val="multilevel"/>
    <w:tmpl w:val="311351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8">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1">
    <w:nsid w:val="526708EB"/>
    <w:multiLevelType w:val="multilevel"/>
    <w:tmpl w:val="526708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2">
    <w:nsid w:val="58B73482"/>
    <w:multiLevelType w:val="multilevel"/>
    <w:tmpl w:val="58B73482"/>
    <w:lvl w:ilvl="0" w:tentative="0">
      <w:start w:val="1"/>
      <w:numFmt w:val="bullet"/>
      <w:lvlText w:val=""/>
      <w:lvlJc w:val="left"/>
      <w:pPr>
        <w:ind w:left="404" w:hanging="360"/>
      </w:pPr>
      <w:rPr>
        <w:rFonts w:hint="default" w:ascii="Symbol" w:hAnsi="Symbol"/>
      </w:rPr>
    </w:lvl>
    <w:lvl w:ilvl="1" w:tentative="0">
      <w:start w:val="1"/>
      <w:numFmt w:val="bullet"/>
      <w:lvlText w:val="o"/>
      <w:lvlJc w:val="left"/>
      <w:pPr>
        <w:ind w:left="1124"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1844" w:hanging="360"/>
      </w:pPr>
      <w:rPr>
        <w:rFonts w:hint="default" w:ascii="Wingdings" w:hAnsi="Wingdings"/>
      </w:rPr>
    </w:lvl>
    <w:lvl w:ilvl="3" w:tentative="0">
      <w:start w:val="1"/>
      <w:numFmt w:val="bullet"/>
      <w:lvlText w:val=""/>
      <w:lvlJc w:val="left"/>
      <w:pPr>
        <w:ind w:left="2564" w:hanging="360"/>
      </w:pPr>
      <w:rPr>
        <w:rFonts w:hint="default" w:ascii="Symbol" w:hAnsi="Symbol"/>
      </w:rPr>
    </w:lvl>
    <w:lvl w:ilvl="4" w:tentative="0">
      <w:start w:val="1"/>
      <w:numFmt w:val="bullet"/>
      <w:lvlText w:val="o"/>
      <w:lvlJc w:val="left"/>
      <w:pPr>
        <w:ind w:left="3284" w:hanging="360"/>
      </w:pPr>
      <w:rPr>
        <w:rFonts w:hint="default" w:ascii="Courier New" w:hAnsi="Courier New" w:cs="Courier New"/>
      </w:rPr>
    </w:lvl>
    <w:lvl w:ilvl="5" w:tentative="0">
      <w:start w:val="1"/>
      <w:numFmt w:val="bullet"/>
      <w:lvlText w:val=""/>
      <w:lvlJc w:val="left"/>
      <w:pPr>
        <w:ind w:left="4004" w:hanging="360"/>
      </w:pPr>
      <w:rPr>
        <w:rFonts w:hint="default" w:ascii="Wingdings" w:hAnsi="Wingdings"/>
      </w:rPr>
    </w:lvl>
    <w:lvl w:ilvl="6" w:tentative="0">
      <w:start w:val="1"/>
      <w:numFmt w:val="bullet"/>
      <w:lvlText w:val=""/>
      <w:lvlJc w:val="left"/>
      <w:pPr>
        <w:ind w:left="4724" w:hanging="360"/>
      </w:pPr>
      <w:rPr>
        <w:rFonts w:hint="default" w:ascii="Symbol" w:hAnsi="Symbol"/>
      </w:rPr>
    </w:lvl>
    <w:lvl w:ilvl="7" w:tentative="0">
      <w:start w:val="1"/>
      <w:numFmt w:val="bullet"/>
      <w:lvlText w:val="o"/>
      <w:lvlJc w:val="left"/>
      <w:pPr>
        <w:ind w:left="5444" w:hanging="360"/>
      </w:pPr>
      <w:rPr>
        <w:rFonts w:hint="default" w:ascii="Courier New" w:hAnsi="Courier New" w:cs="Courier New"/>
      </w:rPr>
    </w:lvl>
    <w:lvl w:ilvl="8" w:tentative="0">
      <w:start w:val="1"/>
      <w:numFmt w:val="bullet"/>
      <w:lvlText w:val=""/>
      <w:lvlJc w:val="left"/>
      <w:pPr>
        <w:ind w:left="6164" w:hanging="360"/>
      </w:pPr>
      <w:rPr>
        <w:rFonts w:hint="default" w:ascii="Wingdings" w:hAnsi="Wingdings"/>
      </w:rPr>
    </w:lvl>
  </w:abstractNum>
  <w:abstractNum w:abstractNumId="13">
    <w:nsid w:val="59640E0A"/>
    <w:multiLevelType w:val="multilevel"/>
    <w:tmpl w:val="59640E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5">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4"/>
  </w:num>
  <w:num w:numId="4">
    <w:abstractNumId w:val="15"/>
  </w:num>
  <w:num w:numId="5">
    <w:abstractNumId w:val="3"/>
  </w:num>
  <w:num w:numId="6">
    <w:abstractNumId w:val="9"/>
  </w:num>
  <w:num w:numId="7">
    <w:abstractNumId w:val="4"/>
  </w:num>
  <w:num w:numId="8">
    <w:abstractNumId w:val="0"/>
  </w:num>
  <w:num w:numId="9">
    <w:abstractNumId w:val="8"/>
  </w:num>
  <w:num w:numId="10">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11"/>
  </w:num>
  <w:num w:numId="14">
    <w:abstractNumId w:val="6"/>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068D"/>
    <w:rsid w:val="00000D7E"/>
    <w:rsid w:val="00000F55"/>
    <w:rsid w:val="0000141C"/>
    <w:rsid w:val="000015D2"/>
    <w:rsid w:val="000030EC"/>
    <w:rsid w:val="00003A5D"/>
    <w:rsid w:val="00005150"/>
    <w:rsid w:val="00005A55"/>
    <w:rsid w:val="00005A98"/>
    <w:rsid w:val="00006F6D"/>
    <w:rsid w:val="00007023"/>
    <w:rsid w:val="000070AC"/>
    <w:rsid w:val="00007948"/>
    <w:rsid w:val="000103FB"/>
    <w:rsid w:val="000107F8"/>
    <w:rsid w:val="0001251B"/>
    <w:rsid w:val="0001285F"/>
    <w:rsid w:val="00012898"/>
    <w:rsid w:val="00013C06"/>
    <w:rsid w:val="00013F26"/>
    <w:rsid w:val="00014BE3"/>
    <w:rsid w:val="00016C9D"/>
    <w:rsid w:val="0001772D"/>
    <w:rsid w:val="00020895"/>
    <w:rsid w:val="00021480"/>
    <w:rsid w:val="00021D84"/>
    <w:rsid w:val="000221C6"/>
    <w:rsid w:val="00022E4A"/>
    <w:rsid w:val="00023765"/>
    <w:rsid w:val="00023919"/>
    <w:rsid w:val="0002404C"/>
    <w:rsid w:val="00024174"/>
    <w:rsid w:val="00025882"/>
    <w:rsid w:val="00025EAE"/>
    <w:rsid w:val="00025FD8"/>
    <w:rsid w:val="00031F2A"/>
    <w:rsid w:val="00032341"/>
    <w:rsid w:val="0003328E"/>
    <w:rsid w:val="00033E41"/>
    <w:rsid w:val="00034E35"/>
    <w:rsid w:val="0003527B"/>
    <w:rsid w:val="000359F5"/>
    <w:rsid w:val="00035CBE"/>
    <w:rsid w:val="0003605D"/>
    <w:rsid w:val="0003727D"/>
    <w:rsid w:val="00037C15"/>
    <w:rsid w:val="0004086E"/>
    <w:rsid w:val="00041F23"/>
    <w:rsid w:val="00042204"/>
    <w:rsid w:val="000435A1"/>
    <w:rsid w:val="00043D0A"/>
    <w:rsid w:val="0004623E"/>
    <w:rsid w:val="00046312"/>
    <w:rsid w:val="0004719A"/>
    <w:rsid w:val="00047B98"/>
    <w:rsid w:val="000506F1"/>
    <w:rsid w:val="0005222D"/>
    <w:rsid w:val="00052A05"/>
    <w:rsid w:val="000531BE"/>
    <w:rsid w:val="000545C3"/>
    <w:rsid w:val="00055C93"/>
    <w:rsid w:val="00057D78"/>
    <w:rsid w:val="000612BC"/>
    <w:rsid w:val="00061A22"/>
    <w:rsid w:val="00062051"/>
    <w:rsid w:val="00062F8D"/>
    <w:rsid w:val="0006406A"/>
    <w:rsid w:val="00065BBE"/>
    <w:rsid w:val="00066172"/>
    <w:rsid w:val="000664E5"/>
    <w:rsid w:val="0006721D"/>
    <w:rsid w:val="000709B0"/>
    <w:rsid w:val="000719FF"/>
    <w:rsid w:val="00071AB8"/>
    <w:rsid w:val="00074D82"/>
    <w:rsid w:val="00075767"/>
    <w:rsid w:val="000763F2"/>
    <w:rsid w:val="00080AD4"/>
    <w:rsid w:val="00081260"/>
    <w:rsid w:val="00081D77"/>
    <w:rsid w:val="00083068"/>
    <w:rsid w:val="0008339E"/>
    <w:rsid w:val="0008393A"/>
    <w:rsid w:val="00083E14"/>
    <w:rsid w:val="00084D8C"/>
    <w:rsid w:val="00087496"/>
    <w:rsid w:val="000875E2"/>
    <w:rsid w:val="00087753"/>
    <w:rsid w:val="0008780D"/>
    <w:rsid w:val="00087B1C"/>
    <w:rsid w:val="00091CC8"/>
    <w:rsid w:val="00092FEF"/>
    <w:rsid w:val="0009363F"/>
    <w:rsid w:val="00093989"/>
    <w:rsid w:val="000941F9"/>
    <w:rsid w:val="00094C33"/>
    <w:rsid w:val="00095516"/>
    <w:rsid w:val="0009565B"/>
    <w:rsid w:val="00095FD8"/>
    <w:rsid w:val="000969D7"/>
    <w:rsid w:val="00096A2E"/>
    <w:rsid w:val="00097B04"/>
    <w:rsid w:val="000A0386"/>
    <w:rsid w:val="000A12B2"/>
    <w:rsid w:val="000A1390"/>
    <w:rsid w:val="000A2919"/>
    <w:rsid w:val="000A34D3"/>
    <w:rsid w:val="000A429E"/>
    <w:rsid w:val="000A4D20"/>
    <w:rsid w:val="000A57B7"/>
    <w:rsid w:val="000A6394"/>
    <w:rsid w:val="000A68BE"/>
    <w:rsid w:val="000A738D"/>
    <w:rsid w:val="000B0E09"/>
    <w:rsid w:val="000B293C"/>
    <w:rsid w:val="000B332E"/>
    <w:rsid w:val="000B38CE"/>
    <w:rsid w:val="000B42D7"/>
    <w:rsid w:val="000B46B3"/>
    <w:rsid w:val="000B6484"/>
    <w:rsid w:val="000B6B7F"/>
    <w:rsid w:val="000B6E49"/>
    <w:rsid w:val="000B744F"/>
    <w:rsid w:val="000B7633"/>
    <w:rsid w:val="000B7FED"/>
    <w:rsid w:val="000C038A"/>
    <w:rsid w:val="000C03C8"/>
    <w:rsid w:val="000C067B"/>
    <w:rsid w:val="000C1BA0"/>
    <w:rsid w:val="000C1FDA"/>
    <w:rsid w:val="000C2588"/>
    <w:rsid w:val="000C3263"/>
    <w:rsid w:val="000C3D56"/>
    <w:rsid w:val="000C3FB8"/>
    <w:rsid w:val="000C473A"/>
    <w:rsid w:val="000C59D8"/>
    <w:rsid w:val="000C6598"/>
    <w:rsid w:val="000C67FF"/>
    <w:rsid w:val="000C68E4"/>
    <w:rsid w:val="000C6CBC"/>
    <w:rsid w:val="000C7403"/>
    <w:rsid w:val="000C7673"/>
    <w:rsid w:val="000C7F40"/>
    <w:rsid w:val="000D1305"/>
    <w:rsid w:val="000D389A"/>
    <w:rsid w:val="000D3C4A"/>
    <w:rsid w:val="000D44B3"/>
    <w:rsid w:val="000D51D3"/>
    <w:rsid w:val="000D54B8"/>
    <w:rsid w:val="000D5E43"/>
    <w:rsid w:val="000D79BE"/>
    <w:rsid w:val="000D7E5D"/>
    <w:rsid w:val="000E08B8"/>
    <w:rsid w:val="000E0F66"/>
    <w:rsid w:val="000E4392"/>
    <w:rsid w:val="000E5B17"/>
    <w:rsid w:val="000E60F8"/>
    <w:rsid w:val="000E6784"/>
    <w:rsid w:val="000E6B64"/>
    <w:rsid w:val="000F0081"/>
    <w:rsid w:val="000F0826"/>
    <w:rsid w:val="000F0EAC"/>
    <w:rsid w:val="000F1515"/>
    <w:rsid w:val="000F22BB"/>
    <w:rsid w:val="000F287A"/>
    <w:rsid w:val="000F290D"/>
    <w:rsid w:val="000F29EA"/>
    <w:rsid w:val="000F322E"/>
    <w:rsid w:val="000F41D7"/>
    <w:rsid w:val="000F4794"/>
    <w:rsid w:val="000F497D"/>
    <w:rsid w:val="000F5841"/>
    <w:rsid w:val="000F747A"/>
    <w:rsid w:val="000F7572"/>
    <w:rsid w:val="000F7745"/>
    <w:rsid w:val="000F7D52"/>
    <w:rsid w:val="00101B6E"/>
    <w:rsid w:val="00101F51"/>
    <w:rsid w:val="001021FB"/>
    <w:rsid w:val="0010321F"/>
    <w:rsid w:val="001046EF"/>
    <w:rsid w:val="001049D7"/>
    <w:rsid w:val="00104CE9"/>
    <w:rsid w:val="00105211"/>
    <w:rsid w:val="00107087"/>
    <w:rsid w:val="001120CF"/>
    <w:rsid w:val="001125B8"/>
    <w:rsid w:val="0011456A"/>
    <w:rsid w:val="0011495B"/>
    <w:rsid w:val="001149C7"/>
    <w:rsid w:val="00114A62"/>
    <w:rsid w:val="00114F62"/>
    <w:rsid w:val="00116738"/>
    <w:rsid w:val="00116A9B"/>
    <w:rsid w:val="00117E1F"/>
    <w:rsid w:val="001200F7"/>
    <w:rsid w:val="0012136B"/>
    <w:rsid w:val="0012182A"/>
    <w:rsid w:val="00121C71"/>
    <w:rsid w:val="001235AC"/>
    <w:rsid w:val="00124505"/>
    <w:rsid w:val="00124E56"/>
    <w:rsid w:val="00124FA7"/>
    <w:rsid w:val="001271CB"/>
    <w:rsid w:val="00127525"/>
    <w:rsid w:val="00130342"/>
    <w:rsid w:val="00132B7D"/>
    <w:rsid w:val="001335E3"/>
    <w:rsid w:val="0013376F"/>
    <w:rsid w:val="00134260"/>
    <w:rsid w:val="0013603A"/>
    <w:rsid w:val="00136D36"/>
    <w:rsid w:val="00136F04"/>
    <w:rsid w:val="00137276"/>
    <w:rsid w:val="001403A7"/>
    <w:rsid w:val="00140DA3"/>
    <w:rsid w:val="001436A9"/>
    <w:rsid w:val="001454AD"/>
    <w:rsid w:val="001459C4"/>
    <w:rsid w:val="00145D43"/>
    <w:rsid w:val="001474F9"/>
    <w:rsid w:val="00150FE6"/>
    <w:rsid w:val="00151450"/>
    <w:rsid w:val="0015223F"/>
    <w:rsid w:val="00152393"/>
    <w:rsid w:val="001523F0"/>
    <w:rsid w:val="00152B7B"/>
    <w:rsid w:val="00154A26"/>
    <w:rsid w:val="00154D5D"/>
    <w:rsid w:val="001557CD"/>
    <w:rsid w:val="00155CAC"/>
    <w:rsid w:val="00157268"/>
    <w:rsid w:val="00157304"/>
    <w:rsid w:val="00160434"/>
    <w:rsid w:val="00161CB1"/>
    <w:rsid w:val="00161D16"/>
    <w:rsid w:val="00162370"/>
    <w:rsid w:val="00163DBA"/>
    <w:rsid w:val="00163EAA"/>
    <w:rsid w:val="00164E71"/>
    <w:rsid w:val="0016506B"/>
    <w:rsid w:val="001652AF"/>
    <w:rsid w:val="001656F4"/>
    <w:rsid w:val="001659D9"/>
    <w:rsid w:val="00165A91"/>
    <w:rsid w:val="00165FCD"/>
    <w:rsid w:val="001664EE"/>
    <w:rsid w:val="001665D2"/>
    <w:rsid w:val="00166A7C"/>
    <w:rsid w:val="00167963"/>
    <w:rsid w:val="0017079E"/>
    <w:rsid w:val="00172557"/>
    <w:rsid w:val="0017260D"/>
    <w:rsid w:val="0017439A"/>
    <w:rsid w:val="0017714C"/>
    <w:rsid w:val="0018176D"/>
    <w:rsid w:val="00181C2F"/>
    <w:rsid w:val="0018250B"/>
    <w:rsid w:val="00185E23"/>
    <w:rsid w:val="00185F13"/>
    <w:rsid w:val="00185F48"/>
    <w:rsid w:val="001868E3"/>
    <w:rsid w:val="00186AF0"/>
    <w:rsid w:val="00186D7F"/>
    <w:rsid w:val="001877F0"/>
    <w:rsid w:val="00187FF8"/>
    <w:rsid w:val="00190041"/>
    <w:rsid w:val="00192C46"/>
    <w:rsid w:val="00193067"/>
    <w:rsid w:val="00193125"/>
    <w:rsid w:val="00193A20"/>
    <w:rsid w:val="001944C9"/>
    <w:rsid w:val="001945F3"/>
    <w:rsid w:val="00194E4D"/>
    <w:rsid w:val="00195111"/>
    <w:rsid w:val="0019515A"/>
    <w:rsid w:val="001956AC"/>
    <w:rsid w:val="00195820"/>
    <w:rsid w:val="0019640E"/>
    <w:rsid w:val="0019766D"/>
    <w:rsid w:val="001A08B3"/>
    <w:rsid w:val="001A1A3E"/>
    <w:rsid w:val="001A3097"/>
    <w:rsid w:val="001A59F6"/>
    <w:rsid w:val="001A5D42"/>
    <w:rsid w:val="001A5D72"/>
    <w:rsid w:val="001A5EFD"/>
    <w:rsid w:val="001A622C"/>
    <w:rsid w:val="001A65DE"/>
    <w:rsid w:val="001A7B60"/>
    <w:rsid w:val="001A7F66"/>
    <w:rsid w:val="001B0B8F"/>
    <w:rsid w:val="001B0F00"/>
    <w:rsid w:val="001B1102"/>
    <w:rsid w:val="001B19E2"/>
    <w:rsid w:val="001B22F8"/>
    <w:rsid w:val="001B24E5"/>
    <w:rsid w:val="001B266C"/>
    <w:rsid w:val="001B3DEC"/>
    <w:rsid w:val="001B47CF"/>
    <w:rsid w:val="001B52F0"/>
    <w:rsid w:val="001B5496"/>
    <w:rsid w:val="001B6B27"/>
    <w:rsid w:val="001B6FAC"/>
    <w:rsid w:val="001B7A65"/>
    <w:rsid w:val="001B7E8A"/>
    <w:rsid w:val="001C02B6"/>
    <w:rsid w:val="001C0422"/>
    <w:rsid w:val="001C0830"/>
    <w:rsid w:val="001C086F"/>
    <w:rsid w:val="001C0B0B"/>
    <w:rsid w:val="001C0D74"/>
    <w:rsid w:val="001C1BF5"/>
    <w:rsid w:val="001C336F"/>
    <w:rsid w:val="001C3E3B"/>
    <w:rsid w:val="001C4147"/>
    <w:rsid w:val="001C44EF"/>
    <w:rsid w:val="001C4EB4"/>
    <w:rsid w:val="001C53ED"/>
    <w:rsid w:val="001C7317"/>
    <w:rsid w:val="001C7D9C"/>
    <w:rsid w:val="001D22C1"/>
    <w:rsid w:val="001D299B"/>
    <w:rsid w:val="001D32B7"/>
    <w:rsid w:val="001D3971"/>
    <w:rsid w:val="001D3FD8"/>
    <w:rsid w:val="001D5D7D"/>
    <w:rsid w:val="001D616E"/>
    <w:rsid w:val="001E009A"/>
    <w:rsid w:val="001E08B5"/>
    <w:rsid w:val="001E0E2E"/>
    <w:rsid w:val="001E0F20"/>
    <w:rsid w:val="001E1091"/>
    <w:rsid w:val="001E323B"/>
    <w:rsid w:val="001E3700"/>
    <w:rsid w:val="001E37BE"/>
    <w:rsid w:val="001E41F3"/>
    <w:rsid w:val="001E7EFD"/>
    <w:rsid w:val="001F1092"/>
    <w:rsid w:val="001F1A06"/>
    <w:rsid w:val="001F231B"/>
    <w:rsid w:val="001F4024"/>
    <w:rsid w:val="001F5159"/>
    <w:rsid w:val="001F529C"/>
    <w:rsid w:val="001F555F"/>
    <w:rsid w:val="001F6378"/>
    <w:rsid w:val="001F76C0"/>
    <w:rsid w:val="00200C48"/>
    <w:rsid w:val="00200D5F"/>
    <w:rsid w:val="00201A66"/>
    <w:rsid w:val="00202F05"/>
    <w:rsid w:val="00203572"/>
    <w:rsid w:val="00203702"/>
    <w:rsid w:val="002038DB"/>
    <w:rsid w:val="00204E73"/>
    <w:rsid w:val="00205291"/>
    <w:rsid w:val="00205D60"/>
    <w:rsid w:val="00205F7D"/>
    <w:rsid w:val="00206474"/>
    <w:rsid w:val="002064A8"/>
    <w:rsid w:val="00207D52"/>
    <w:rsid w:val="00210FB4"/>
    <w:rsid w:val="0021201F"/>
    <w:rsid w:val="00212EDF"/>
    <w:rsid w:val="00213BFE"/>
    <w:rsid w:val="00214566"/>
    <w:rsid w:val="00214E81"/>
    <w:rsid w:val="0021513D"/>
    <w:rsid w:val="00215AC0"/>
    <w:rsid w:val="00216174"/>
    <w:rsid w:val="002169C4"/>
    <w:rsid w:val="0021718F"/>
    <w:rsid w:val="00217BAE"/>
    <w:rsid w:val="0022039B"/>
    <w:rsid w:val="00221A04"/>
    <w:rsid w:val="00221CDF"/>
    <w:rsid w:val="00222E5B"/>
    <w:rsid w:val="0022374B"/>
    <w:rsid w:val="00223B55"/>
    <w:rsid w:val="0022445B"/>
    <w:rsid w:val="00224B7F"/>
    <w:rsid w:val="00225A8F"/>
    <w:rsid w:val="00225DF4"/>
    <w:rsid w:val="00225E6F"/>
    <w:rsid w:val="002265AF"/>
    <w:rsid w:val="00226C14"/>
    <w:rsid w:val="002271C9"/>
    <w:rsid w:val="00227C01"/>
    <w:rsid w:val="00227D53"/>
    <w:rsid w:val="002309DA"/>
    <w:rsid w:val="00230A65"/>
    <w:rsid w:val="0023184D"/>
    <w:rsid w:val="00231B22"/>
    <w:rsid w:val="00232408"/>
    <w:rsid w:val="0023260C"/>
    <w:rsid w:val="0023267D"/>
    <w:rsid w:val="00232E7E"/>
    <w:rsid w:val="00233741"/>
    <w:rsid w:val="00234103"/>
    <w:rsid w:val="002355C5"/>
    <w:rsid w:val="0023593B"/>
    <w:rsid w:val="00235BF8"/>
    <w:rsid w:val="002363F6"/>
    <w:rsid w:val="00236B69"/>
    <w:rsid w:val="002373C0"/>
    <w:rsid w:val="00240F93"/>
    <w:rsid w:val="002412A3"/>
    <w:rsid w:val="0024312A"/>
    <w:rsid w:val="0024337C"/>
    <w:rsid w:val="002433A5"/>
    <w:rsid w:val="00243A33"/>
    <w:rsid w:val="00244AD9"/>
    <w:rsid w:val="00245474"/>
    <w:rsid w:val="00246E1F"/>
    <w:rsid w:val="00247C26"/>
    <w:rsid w:val="00250174"/>
    <w:rsid w:val="00250365"/>
    <w:rsid w:val="002503BA"/>
    <w:rsid w:val="00250A17"/>
    <w:rsid w:val="0025288A"/>
    <w:rsid w:val="002529A5"/>
    <w:rsid w:val="00254153"/>
    <w:rsid w:val="00254DD7"/>
    <w:rsid w:val="00254E40"/>
    <w:rsid w:val="00255A90"/>
    <w:rsid w:val="0025613A"/>
    <w:rsid w:val="00256768"/>
    <w:rsid w:val="002579D2"/>
    <w:rsid w:val="00257C37"/>
    <w:rsid w:val="0026004D"/>
    <w:rsid w:val="00260540"/>
    <w:rsid w:val="00260970"/>
    <w:rsid w:val="002610F0"/>
    <w:rsid w:val="00261F99"/>
    <w:rsid w:val="0026263A"/>
    <w:rsid w:val="00262C61"/>
    <w:rsid w:val="002640DD"/>
    <w:rsid w:val="00264D46"/>
    <w:rsid w:val="00266125"/>
    <w:rsid w:val="002667B2"/>
    <w:rsid w:val="00266FF7"/>
    <w:rsid w:val="00267649"/>
    <w:rsid w:val="00267746"/>
    <w:rsid w:val="00267FEA"/>
    <w:rsid w:val="00270387"/>
    <w:rsid w:val="00271098"/>
    <w:rsid w:val="0027171F"/>
    <w:rsid w:val="00272B08"/>
    <w:rsid w:val="00273460"/>
    <w:rsid w:val="0027350D"/>
    <w:rsid w:val="002736A1"/>
    <w:rsid w:val="00273714"/>
    <w:rsid w:val="00273A7A"/>
    <w:rsid w:val="00273E26"/>
    <w:rsid w:val="00275D12"/>
    <w:rsid w:val="002768CE"/>
    <w:rsid w:val="00280DC6"/>
    <w:rsid w:val="002811B6"/>
    <w:rsid w:val="00281540"/>
    <w:rsid w:val="00281D67"/>
    <w:rsid w:val="002823F8"/>
    <w:rsid w:val="00282634"/>
    <w:rsid w:val="00284D02"/>
    <w:rsid w:val="00284FEB"/>
    <w:rsid w:val="00285126"/>
    <w:rsid w:val="0028520F"/>
    <w:rsid w:val="002855F2"/>
    <w:rsid w:val="0028589D"/>
    <w:rsid w:val="002860C4"/>
    <w:rsid w:val="002863B3"/>
    <w:rsid w:val="002874BA"/>
    <w:rsid w:val="00287DDB"/>
    <w:rsid w:val="00290F33"/>
    <w:rsid w:val="0029163F"/>
    <w:rsid w:val="0029219A"/>
    <w:rsid w:val="0029262E"/>
    <w:rsid w:val="002935E7"/>
    <w:rsid w:val="00295820"/>
    <w:rsid w:val="0029795A"/>
    <w:rsid w:val="002A002F"/>
    <w:rsid w:val="002A05EA"/>
    <w:rsid w:val="002A2B92"/>
    <w:rsid w:val="002A384A"/>
    <w:rsid w:val="002A4453"/>
    <w:rsid w:val="002A44E7"/>
    <w:rsid w:val="002A4E83"/>
    <w:rsid w:val="002A5D46"/>
    <w:rsid w:val="002B01D7"/>
    <w:rsid w:val="002B0CD5"/>
    <w:rsid w:val="002B1BAB"/>
    <w:rsid w:val="002B1C79"/>
    <w:rsid w:val="002B2480"/>
    <w:rsid w:val="002B2BF6"/>
    <w:rsid w:val="002B3E81"/>
    <w:rsid w:val="002B3F8F"/>
    <w:rsid w:val="002B4242"/>
    <w:rsid w:val="002B5741"/>
    <w:rsid w:val="002B58FA"/>
    <w:rsid w:val="002B5E2D"/>
    <w:rsid w:val="002B64B5"/>
    <w:rsid w:val="002B6F60"/>
    <w:rsid w:val="002B7678"/>
    <w:rsid w:val="002C10B8"/>
    <w:rsid w:val="002C261C"/>
    <w:rsid w:val="002C29E5"/>
    <w:rsid w:val="002C3701"/>
    <w:rsid w:val="002C700F"/>
    <w:rsid w:val="002C7275"/>
    <w:rsid w:val="002C795F"/>
    <w:rsid w:val="002D2448"/>
    <w:rsid w:val="002D251D"/>
    <w:rsid w:val="002D2571"/>
    <w:rsid w:val="002D3389"/>
    <w:rsid w:val="002D403B"/>
    <w:rsid w:val="002D40A4"/>
    <w:rsid w:val="002D4249"/>
    <w:rsid w:val="002D4622"/>
    <w:rsid w:val="002D6746"/>
    <w:rsid w:val="002D7C6C"/>
    <w:rsid w:val="002E023C"/>
    <w:rsid w:val="002E02F2"/>
    <w:rsid w:val="002E0E97"/>
    <w:rsid w:val="002E1F9C"/>
    <w:rsid w:val="002E313A"/>
    <w:rsid w:val="002E381A"/>
    <w:rsid w:val="002E4270"/>
    <w:rsid w:val="002E45BF"/>
    <w:rsid w:val="002E472E"/>
    <w:rsid w:val="002E477E"/>
    <w:rsid w:val="002E4796"/>
    <w:rsid w:val="002E5B6A"/>
    <w:rsid w:val="002E7104"/>
    <w:rsid w:val="002E7476"/>
    <w:rsid w:val="002F19F3"/>
    <w:rsid w:val="002F2E53"/>
    <w:rsid w:val="002F3518"/>
    <w:rsid w:val="002F3971"/>
    <w:rsid w:val="002F39CC"/>
    <w:rsid w:val="002F4412"/>
    <w:rsid w:val="002F550F"/>
    <w:rsid w:val="002F6893"/>
    <w:rsid w:val="003020A2"/>
    <w:rsid w:val="003026CA"/>
    <w:rsid w:val="00303ABB"/>
    <w:rsid w:val="00304FE1"/>
    <w:rsid w:val="00305409"/>
    <w:rsid w:val="0030542A"/>
    <w:rsid w:val="00305F31"/>
    <w:rsid w:val="003072B1"/>
    <w:rsid w:val="00310327"/>
    <w:rsid w:val="00311123"/>
    <w:rsid w:val="003112BF"/>
    <w:rsid w:val="0031133A"/>
    <w:rsid w:val="003130E3"/>
    <w:rsid w:val="00313487"/>
    <w:rsid w:val="00313D8D"/>
    <w:rsid w:val="00314854"/>
    <w:rsid w:val="00315183"/>
    <w:rsid w:val="00315FEC"/>
    <w:rsid w:val="003164F5"/>
    <w:rsid w:val="003170B5"/>
    <w:rsid w:val="0032157C"/>
    <w:rsid w:val="00321BDA"/>
    <w:rsid w:val="00321EF2"/>
    <w:rsid w:val="00323B5F"/>
    <w:rsid w:val="003247CC"/>
    <w:rsid w:val="00324E39"/>
    <w:rsid w:val="00325CC6"/>
    <w:rsid w:val="003260C0"/>
    <w:rsid w:val="003263DA"/>
    <w:rsid w:val="00326EA8"/>
    <w:rsid w:val="00327381"/>
    <w:rsid w:val="00330DC3"/>
    <w:rsid w:val="003314F5"/>
    <w:rsid w:val="0033156F"/>
    <w:rsid w:val="003319ED"/>
    <w:rsid w:val="003322BA"/>
    <w:rsid w:val="00332945"/>
    <w:rsid w:val="0033295B"/>
    <w:rsid w:val="003330DC"/>
    <w:rsid w:val="00333A98"/>
    <w:rsid w:val="003353F3"/>
    <w:rsid w:val="00335417"/>
    <w:rsid w:val="0033585D"/>
    <w:rsid w:val="003368F5"/>
    <w:rsid w:val="0033705C"/>
    <w:rsid w:val="00337570"/>
    <w:rsid w:val="00337682"/>
    <w:rsid w:val="00337890"/>
    <w:rsid w:val="00337C0D"/>
    <w:rsid w:val="00337C9B"/>
    <w:rsid w:val="0034283D"/>
    <w:rsid w:val="00342CB3"/>
    <w:rsid w:val="003433DA"/>
    <w:rsid w:val="003436A4"/>
    <w:rsid w:val="00344D69"/>
    <w:rsid w:val="00344E3F"/>
    <w:rsid w:val="00345735"/>
    <w:rsid w:val="0034595D"/>
    <w:rsid w:val="0034763E"/>
    <w:rsid w:val="003502EE"/>
    <w:rsid w:val="00350BA5"/>
    <w:rsid w:val="00351A10"/>
    <w:rsid w:val="003522AA"/>
    <w:rsid w:val="0035300A"/>
    <w:rsid w:val="0035335D"/>
    <w:rsid w:val="00354429"/>
    <w:rsid w:val="003557D1"/>
    <w:rsid w:val="00355FEF"/>
    <w:rsid w:val="00356F5A"/>
    <w:rsid w:val="00360888"/>
    <w:rsid w:val="003609EF"/>
    <w:rsid w:val="0036116E"/>
    <w:rsid w:val="00361B52"/>
    <w:rsid w:val="0036231A"/>
    <w:rsid w:val="0036285A"/>
    <w:rsid w:val="003635E1"/>
    <w:rsid w:val="00363994"/>
    <w:rsid w:val="00363EDD"/>
    <w:rsid w:val="00364EDA"/>
    <w:rsid w:val="003701AB"/>
    <w:rsid w:val="00370A04"/>
    <w:rsid w:val="00370F51"/>
    <w:rsid w:val="00371338"/>
    <w:rsid w:val="0037343D"/>
    <w:rsid w:val="00373BD3"/>
    <w:rsid w:val="00373F7E"/>
    <w:rsid w:val="00373F86"/>
    <w:rsid w:val="00374456"/>
    <w:rsid w:val="00374DD4"/>
    <w:rsid w:val="003762A7"/>
    <w:rsid w:val="003762FD"/>
    <w:rsid w:val="0037684C"/>
    <w:rsid w:val="00376CF7"/>
    <w:rsid w:val="00382327"/>
    <w:rsid w:val="003828FE"/>
    <w:rsid w:val="003830EA"/>
    <w:rsid w:val="003836AA"/>
    <w:rsid w:val="003844B6"/>
    <w:rsid w:val="00384C6F"/>
    <w:rsid w:val="00387BF4"/>
    <w:rsid w:val="00390175"/>
    <w:rsid w:val="00390845"/>
    <w:rsid w:val="00390A34"/>
    <w:rsid w:val="00390D05"/>
    <w:rsid w:val="00391BD0"/>
    <w:rsid w:val="00392261"/>
    <w:rsid w:val="00393816"/>
    <w:rsid w:val="00393C64"/>
    <w:rsid w:val="003947BD"/>
    <w:rsid w:val="003948CB"/>
    <w:rsid w:val="003951B8"/>
    <w:rsid w:val="0039612A"/>
    <w:rsid w:val="0039643E"/>
    <w:rsid w:val="00396D3C"/>
    <w:rsid w:val="0039774A"/>
    <w:rsid w:val="00397F52"/>
    <w:rsid w:val="003A4ADE"/>
    <w:rsid w:val="003A517D"/>
    <w:rsid w:val="003A79EC"/>
    <w:rsid w:val="003B044C"/>
    <w:rsid w:val="003B07CF"/>
    <w:rsid w:val="003B163B"/>
    <w:rsid w:val="003B2C7B"/>
    <w:rsid w:val="003B2EA7"/>
    <w:rsid w:val="003B3CB7"/>
    <w:rsid w:val="003B4961"/>
    <w:rsid w:val="003B5037"/>
    <w:rsid w:val="003B5833"/>
    <w:rsid w:val="003B74C7"/>
    <w:rsid w:val="003B7A4C"/>
    <w:rsid w:val="003C086F"/>
    <w:rsid w:val="003C17F4"/>
    <w:rsid w:val="003C1DB2"/>
    <w:rsid w:val="003C1EAC"/>
    <w:rsid w:val="003C27CD"/>
    <w:rsid w:val="003C2B78"/>
    <w:rsid w:val="003C468A"/>
    <w:rsid w:val="003C563E"/>
    <w:rsid w:val="003C7877"/>
    <w:rsid w:val="003D07BF"/>
    <w:rsid w:val="003D0A00"/>
    <w:rsid w:val="003D1580"/>
    <w:rsid w:val="003D1968"/>
    <w:rsid w:val="003D5034"/>
    <w:rsid w:val="003D700E"/>
    <w:rsid w:val="003E16C8"/>
    <w:rsid w:val="003E17BD"/>
    <w:rsid w:val="003E1A36"/>
    <w:rsid w:val="003E1BDA"/>
    <w:rsid w:val="003E1D38"/>
    <w:rsid w:val="003E2462"/>
    <w:rsid w:val="003E3FE4"/>
    <w:rsid w:val="003E4A37"/>
    <w:rsid w:val="003E5128"/>
    <w:rsid w:val="003E57FF"/>
    <w:rsid w:val="003E65CD"/>
    <w:rsid w:val="003E6A4D"/>
    <w:rsid w:val="003E7F3B"/>
    <w:rsid w:val="003F0054"/>
    <w:rsid w:val="003F078D"/>
    <w:rsid w:val="003F0D43"/>
    <w:rsid w:val="003F197E"/>
    <w:rsid w:val="003F2493"/>
    <w:rsid w:val="003F2EC2"/>
    <w:rsid w:val="003F49B8"/>
    <w:rsid w:val="003F4DF1"/>
    <w:rsid w:val="003F5361"/>
    <w:rsid w:val="003F5DE6"/>
    <w:rsid w:val="003F629A"/>
    <w:rsid w:val="004026C4"/>
    <w:rsid w:val="00403BF5"/>
    <w:rsid w:val="00403C3C"/>
    <w:rsid w:val="00403DA5"/>
    <w:rsid w:val="004045C9"/>
    <w:rsid w:val="004046C8"/>
    <w:rsid w:val="00404FE0"/>
    <w:rsid w:val="0040523C"/>
    <w:rsid w:val="004056E0"/>
    <w:rsid w:val="00406584"/>
    <w:rsid w:val="004069CB"/>
    <w:rsid w:val="00406DFD"/>
    <w:rsid w:val="004077AA"/>
    <w:rsid w:val="00407970"/>
    <w:rsid w:val="00407F16"/>
    <w:rsid w:val="00410371"/>
    <w:rsid w:val="00411146"/>
    <w:rsid w:val="0041151C"/>
    <w:rsid w:val="00411BB3"/>
    <w:rsid w:val="00411C40"/>
    <w:rsid w:val="0041242D"/>
    <w:rsid w:val="00412A05"/>
    <w:rsid w:val="00412DB6"/>
    <w:rsid w:val="00414695"/>
    <w:rsid w:val="0041480D"/>
    <w:rsid w:val="00414E26"/>
    <w:rsid w:val="00415805"/>
    <w:rsid w:val="004160BF"/>
    <w:rsid w:val="0041614B"/>
    <w:rsid w:val="00416223"/>
    <w:rsid w:val="00416676"/>
    <w:rsid w:val="004167B8"/>
    <w:rsid w:val="00417110"/>
    <w:rsid w:val="00420C4C"/>
    <w:rsid w:val="00420E86"/>
    <w:rsid w:val="004210BF"/>
    <w:rsid w:val="00423DE9"/>
    <w:rsid w:val="00423F26"/>
    <w:rsid w:val="004242F1"/>
    <w:rsid w:val="00424B39"/>
    <w:rsid w:val="00425BCC"/>
    <w:rsid w:val="00426181"/>
    <w:rsid w:val="004332FE"/>
    <w:rsid w:val="00433F40"/>
    <w:rsid w:val="00434D46"/>
    <w:rsid w:val="004360BC"/>
    <w:rsid w:val="0043721D"/>
    <w:rsid w:val="00437B32"/>
    <w:rsid w:val="00444278"/>
    <w:rsid w:val="0044477E"/>
    <w:rsid w:val="004460E6"/>
    <w:rsid w:val="004462CF"/>
    <w:rsid w:val="00447A0A"/>
    <w:rsid w:val="00450580"/>
    <w:rsid w:val="00450E80"/>
    <w:rsid w:val="00451517"/>
    <w:rsid w:val="00452E07"/>
    <w:rsid w:val="00453300"/>
    <w:rsid w:val="00454487"/>
    <w:rsid w:val="00454E70"/>
    <w:rsid w:val="004554EF"/>
    <w:rsid w:val="004579DD"/>
    <w:rsid w:val="00460EC6"/>
    <w:rsid w:val="0046175B"/>
    <w:rsid w:val="00461C75"/>
    <w:rsid w:val="004636D4"/>
    <w:rsid w:val="00464346"/>
    <w:rsid w:val="004644EE"/>
    <w:rsid w:val="00464B26"/>
    <w:rsid w:val="004651A6"/>
    <w:rsid w:val="00467418"/>
    <w:rsid w:val="00467D9B"/>
    <w:rsid w:val="00470901"/>
    <w:rsid w:val="00472D1E"/>
    <w:rsid w:val="00473CAE"/>
    <w:rsid w:val="00473DEB"/>
    <w:rsid w:val="00474BA3"/>
    <w:rsid w:val="00475856"/>
    <w:rsid w:val="00477831"/>
    <w:rsid w:val="00477B1D"/>
    <w:rsid w:val="00477CB7"/>
    <w:rsid w:val="00480375"/>
    <w:rsid w:val="0048159C"/>
    <w:rsid w:val="0048185F"/>
    <w:rsid w:val="00481A10"/>
    <w:rsid w:val="00481B06"/>
    <w:rsid w:val="00481D3B"/>
    <w:rsid w:val="00481DB9"/>
    <w:rsid w:val="00482903"/>
    <w:rsid w:val="0048359D"/>
    <w:rsid w:val="00483FC0"/>
    <w:rsid w:val="004845BA"/>
    <w:rsid w:val="0048488C"/>
    <w:rsid w:val="00484C4E"/>
    <w:rsid w:val="00485075"/>
    <w:rsid w:val="004853AB"/>
    <w:rsid w:val="0048630D"/>
    <w:rsid w:val="00486A25"/>
    <w:rsid w:val="00487CFD"/>
    <w:rsid w:val="0049069D"/>
    <w:rsid w:val="00490BD2"/>
    <w:rsid w:val="00490E40"/>
    <w:rsid w:val="00490E48"/>
    <w:rsid w:val="00491D10"/>
    <w:rsid w:val="0049258B"/>
    <w:rsid w:val="00492F69"/>
    <w:rsid w:val="0049312F"/>
    <w:rsid w:val="004938A9"/>
    <w:rsid w:val="004947A8"/>
    <w:rsid w:val="00494AB5"/>
    <w:rsid w:val="004950EB"/>
    <w:rsid w:val="00495988"/>
    <w:rsid w:val="004973E9"/>
    <w:rsid w:val="0049772D"/>
    <w:rsid w:val="004A1031"/>
    <w:rsid w:val="004A1923"/>
    <w:rsid w:val="004A1C74"/>
    <w:rsid w:val="004A4E86"/>
    <w:rsid w:val="004A54E5"/>
    <w:rsid w:val="004A5760"/>
    <w:rsid w:val="004B10C7"/>
    <w:rsid w:val="004B4591"/>
    <w:rsid w:val="004B4D54"/>
    <w:rsid w:val="004B5417"/>
    <w:rsid w:val="004B5843"/>
    <w:rsid w:val="004B64AB"/>
    <w:rsid w:val="004B6B11"/>
    <w:rsid w:val="004B716D"/>
    <w:rsid w:val="004B732E"/>
    <w:rsid w:val="004B75B7"/>
    <w:rsid w:val="004B7BE7"/>
    <w:rsid w:val="004C0F59"/>
    <w:rsid w:val="004C13A7"/>
    <w:rsid w:val="004C1F0C"/>
    <w:rsid w:val="004C2A4A"/>
    <w:rsid w:val="004C31BD"/>
    <w:rsid w:val="004C47F6"/>
    <w:rsid w:val="004C70EE"/>
    <w:rsid w:val="004C7A9F"/>
    <w:rsid w:val="004C7C1C"/>
    <w:rsid w:val="004D1D54"/>
    <w:rsid w:val="004D1EDC"/>
    <w:rsid w:val="004D22DD"/>
    <w:rsid w:val="004D2723"/>
    <w:rsid w:val="004D3BF3"/>
    <w:rsid w:val="004D4097"/>
    <w:rsid w:val="004D4361"/>
    <w:rsid w:val="004D450F"/>
    <w:rsid w:val="004D48A5"/>
    <w:rsid w:val="004D4E4B"/>
    <w:rsid w:val="004D57CD"/>
    <w:rsid w:val="004D5F1F"/>
    <w:rsid w:val="004D63C0"/>
    <w:rsid w:val="004D6409"/>
    <w:rsid w:val="004D6C43"/>
    <w:rsid w:val="004D7C63"/>
    <w:rsid w:val="004E063D"/>
    <w:rsid w:val="004E1488"/>
    <w:rsid w:val="004E188E"/>
    <w:rsid w:val="004E23F3"/>
    <w:rsid w:val="004E329D"/>
    <w:rsid w:val="004E3857"/>
    <w:rsid w:val="004E4105"/>
    <w:rsid w:val="004E5636"/>
    <w:rsid w:val="004E7D10"/>
    <w:rsid w:val="004F0478"/>
    <w:rsid w:val="004F3B74"/>
    <w:rsid w:val="004F4564"/>
    <w:rsid w:val="004F6A05"/>
    <w:rsid w:val="004F71A6"/>
    <w:rsid w:val="004F792B"/>
    <w:rsid w:val="004F7DA3"/>
    <w:rsid w:val="004F7ED2"/>
    <w:rsid w:val="00501D2D"/>
    <w:rsid w:val="005021CF"/>
    <w:rsid w:val="00502430"/>
    <w:rsid w:val="005027F9"/>
    <w:rsid w:val="00503AF6"/>
    <w:rsid w:val="005047EE"/>
    <w:rsid w:val="00504AF7"/>
    <w:rsid w:val="00504D1E"/>
    <w:rsid w:val="00505DA9"/>
    <w:rsid w:val="00506911"/>
    <w:rsid w:val="00507756"/>
    <w:rsid w:val="00507820"/>
    <w:rsid w:val="005130EB"/>
    <w:rsid w:val="005135DD"/>
    <w:rsid w:val="00513694"/>
    <w:rsid w:val="00513A63"/>
    <w:rsid w:val="0051580D"/>
    <w:rsid w:val="005179D8"/>
    <w:rsid w:val="00517B47"/>
    <w:rsid w:val="00517C6A"/>
    <w:rsid w:val="00520860"/>
    <w:rsid w:val="00520C45"/>
    <w:rsid w:val="005216D8"/>
    <w:rsid w:val="00521F57"/>
    <w:rsid w:val="005225F6"/>
    <w:rsid w:val="00523A7C"/>
    <w:rsid w:val="0052567C"/>
    <w:rsid w:val="00527CEB"/>
    <w:rsid w:val="00530BD0"/>
    <w:rsid w:val="00532288"/>
    <w:rsid w:val="005323C6"/>
    <w:rsid w:val="00532AF1"/>
    <w:rsid w:val="00532D57"/>
    <w:rsid w:val="00533907"/>
    <w:rsid w:val="00534891"/>
    <w:rsid w:val="00535348"/>
    <w:rsid w:val="00540743"/>
    <w:rsid w:val="00540962"/>
    <w:rsid w:val="00542913"/>
    <w:rsid w:val="00543457"/>
    <w:rsid w:val="00544667"/>
    <w:rsid w:val="005447C3"/>
    <w:rsid w:val="005451F6"/>
    <w:rsid w:val="00546429"/>
    <w:rsid w:val="0054668F"/>
    <w:rsid w:val="005469CC"/>
    <w:rsid w:val="00547111"/>
    <w:rsid w:val="00547399"/>
    <w:rsid w:val="00550CCF"/>
    <w:rsid w:val="0055189B"/>
    <w:rsid w:val="005518F3"/>
    <w:rsid w:val="00552F82"/>
    <w:rsid w:val="00553AF3"/>
    <w:rsid w:val="005558EE"/>
    <w:rsid w:val="0055618C"/>
    <w:rsid w:val="005561D0"/>
    <w:rsid w:val="005565A8"/>
    <w:rsid w:val="00556851"/>
    <w:rsid w:val="005574EB"/>
    <w:rsid w:val="005607E3"/>
    <w:rsid w:val="00560C3E"/>
    <w:rsid w:val="005616E9"/>
    <w:rsid w:val="00561CBC"/>
    <w:rsid w:val="00562B81"/>
    <w:rsid w:val="00562E4F"/>
    <w:rsid w:val="00564D2B"/>
    <w:rsid w:val="005675DC"/>
    <w:rsid w:val="005703BE"/>
    <w:rsid w:val="005712CC"/>
    <w:rsid w:val="00574648"/>
    <w:rsid w:val="005756B6"/>
    <w:rsid w:val="005758BC"/>
    <w:rsid w:val="00576A9F"/>
    <w:rsid w:val="005800EF"/>
    <w:rsid w:val="00581E83"/>
    <w:rsid w:val="00581EE0"/>
    <w:rsid w:val="00582E1A"/>
    <w:rsid w:val="00584E78"/>
    <w:rsid w:val="0058523C"/>
    <w:rsid w:val="005854C2"/>
    <w:rsid w:val="00585BA2"/>
    <w:rsid w:val="005860B2"/>
    <w:rsid w:val="0059083C"/>
    <w:rsid w:val="0059098F"/>
    <w:rsid w:val="00591ABE"/>
    <w:rsid w:val="005920BC"/>
    <w:rsid w:val="005922AF"/>
    <w:rsid w:val="00592796"/>
    <w:rsid w:val="0059284A"/>
    <w:rsid w:val="00592D74"/>
    <w:rsid w:val="00593191"/>
    <w:rsid w:val="0059353F"/>
    <w:rsid w:val="00595D4F"/>
    <w:rsid w:val="00597137"/>
    <w:rsid w:val="005A02F4"/>
    <w:rsid w:val="005A0C71"/>
    <w:rsid w:val="005A12B4"/>
    <w:rsid w:val="005A1C4F"/>
    <w:rsid w:val="005A2582"/>
    <w:rsid w:val="005A28D6"/>
    <w:rsid w:val="005A3A5E"/>
    <w:rsid w:val="005A496A"/>
    <w:rsid w:val="005A5974"/>
    <w:rsid w:val="005A5EBF"/>
    <w:rsid w:val="005A5F29"/>
    <w:rsid w:val="005A70BF"/>
    <w:rsid w:val="005A7833"/>
    <w:rsid w:val="005B0168"/>
    <w:rsid w:val="005B06CB"/>
    <w:rsid w:val="005B1D0D"/>
    <w:rsid w:val="005B2E32"/>
    <w:rsid w:val="005B2E91"/>
    <w:rsid w:val="005B3C74"/>
    <w:rsid w:val="005B5F68"/>
    <w:rsid w:val="005B6EC3"/>
    <w:rsid w:val="005B7097"/>
    <w:rsid w:val="005B7309"/>
    <w:rsid w:val="005C016D"/>
    <w:rsid w:val="005C03FA"/>
    <w:rsid w:val="005C05E6"/>
    <w:rsid w:val="005C1016"/>
    <w:rsid w:val="005C17C6"/>
    <w:rsid w:val="005C1EFD"/>
    <w:rsid w:val="005C2768"/>
    <w:rsid w:val="005C39B9"/>
    <w:rsid w:val="005C43B9"/>
    <w:rsid w:val="005C4789"/>
    <w:rsid w:val="005C47BD"/>
    <w:rsid w:val="005C48F6"/>
    <w:rsid w:val="005C4A31"/>
    <w:rsid w:val="005C4EEF"/>
    <w:rsid w:val="005C51C4"/>
    <w:rsid w:val="005C58CB"/>
    <w:rsid w:val="005C596B"/>
    <w:rsid w:val="005C5A93"/>
    <w:rsid w:val="005C7AEF"/>
    <w:rsid w:val="005C7D5F"/>
    <w:rsid w:val="005D0C75"/>
    <w:rsid w:val="005D28AB"/>
    <w:rsid w:val="005D3EF4"/>
    <w:rsid w:val="005D40CD"/>
    <w:rsid w:val="005D4FB6"/>
    <w:rsid w:val="005D5589"/>
    <w:rsid w:val="005D6744"/>
    <w:rsid w:val="005D6A45"/>
    <w:rsid w:val="005D722A"/>
    <w:rsid w:val="005E2031"/>
    <w:rsid w:val="005E2566"/>
    <w:rsid w:val="005E2C44"/>
    <w:rsid w:val="005E30E5"/>
    <w:rsid w:val="005E3781"/>
    <w:rsid w:val="005E4304"/>
    <w:rsid w:val="005E58FF"/>
    <w:rsid w:val="005E5D84"/>
    <w:rsid w:val="005E6962"/>
    <w:rsid w:val="005E6EF8"/>
    <w:rsid w:val="005E7107"/>
    <w:rsid w:val="005E79BC"/>
    <w:rsid w:val="005E7C71"/>
    <w:rsid w:val="005F22A8"/>
    <w:rsid w:val="005F2C16"/>
    <w:rsid w:val="005F365E"/>
    <w:rsid w:val="005F4E5D"/>
    <w:rsid w:val="005F54CA"/>
    <w:rsid w:val="005F56EE"/>
    <w:rsid w:val="005F577A"/>
    <w:rsid w:val="005F707C"/>
    <w:rsid w:val="005F7D69"/>
    <w:rsid w:val="006007DB"/>
    <w:rsid w:val="00600C03"/>
    <w:rsid w:val="00600D55"/>
    <w:rsid w:val="006014A7"/>
    <w:rsid w:val="006018A2"/>
    <w:rsid w:val="006019EF"/>
    <w:rsid w:val="00602138"/>
    <w:rsid w:val="00604103"/>
    <w:rsid w:val="00604686"/>
    <w:rsid w:val="0060526D"/>
    <w:rsid w:val="00605825"/>
    <w:rsid w:val="006063F8"/>
    <w:rsid w:val="00606578"/>
    <w:rsid w:val="006065B1"/>
    <w:rsid w:val="006066A3"/>
    <w:rsid w:val="00607466"/>
    <w:rsid w:val="006074B0"/>
    <w:rsid w:val="00607CEC"/>
    <w:rsid w:val="006119EC"/>
    <w:rsid w:val="00611C93"/>
    <w:rsid w:val="00612109"/>
    <w:rsid w:val="006123B6"/>
    <w:rsid w:val="0061249B"/>
    <w:rsid w:val="00613074"/>
    <w:rsid w:val="00613DB4"/>
    <w:rsid w:val="006149C5"/>
    <w:rsid w:val="0061607D"/>
    <w:rsid w:val="00616129"/>
    <w:rsid w:val="006166BF"/>
    <w:rsid w:val="00616D5E"/>
    <w:rsid w:val="0061791E"/>
    <w:rsid w:val="00617D48"/>
    <w:rsid w:val="00620181"/>
    <w:rsid w:val="006204CC"/>
    <w:rsid w:val="006205E0"/>
    <w:rsid w:val="00621188"/>
    <w:rsid w:val="006211F9"/>
    <w:rsid w:val="00621FEF"/>
    <w:rsid w:val="00624B75"/>
    <w:rsid w:val="006255CD"/>
    <w:rsid w:val="006257ED"/>
    <w:rsid w:val="00626191"/>
    <w:rsid w:val="006263B4"/>
    <w:rsid w:val="0062663E"/>
    <w:rsid w:val="006301CB"/>
    <w:rsid w:val="006323A2"/>
    <w:rsid w:val="00632C17"/>
    <w:rsid w:val="006340EC"/>
    <w:rsid w:val="00635891"/>
    <w:rsid w:val="00636D8B"/>
    <w:rsid w:val="006406DE"/>
    <w:rsid w:val="00641498"/>
    <w:rsid w:val="006415FF"/>
    <w:rsid w:val="006417BD"/>
    <w:rsid w:val="00643784"/>
    <w:rsid w:val="00643C37"/>
    <w:rsid w:val="0064407F"/>
    <w:rsid w:val="006442EF"/>
    <w:rsid w:val="006457D1"/>
    <w:rsid w:val="00646081"/>
    <w:rsid w:val="00646B0A"/>
    <w:rsid w:val="00647246"/>
    <w:rsid w:val="006507C6"/>
    <w:rsid w:val="00650C1D"/>
    <w:rsid w:val="006515DF"/>
    <w:rsid w:val="00651D99"/>
    <w:rsid w:val="00652880"/>
    <w:rsid w:val="00652F04"/>
    <w:rsid w:val="00652F8D"/>
    <w:rsid w:val="0065381B"/>
    <w:rsid w:val="00654004"/>
    <w:rsid w:val="00654272"/>
    <w:rsid w:val="00654BE7"/>
    <w:rsid w:val="006556D5"/>
    <w:rsid w:val="006557D4"/>
    <w:rsid w:val="00656B9C"/>
    <w:rsid w:val="006574A7"/>
    <w:rsid w:val="006613F7"/>
    <w:rsid w:val="00661DE2"/>
    <w:rsid w:val="006642B4"/>
    <w:rsid w:val="00665C47"/>
    <w:rsid w:val="00665FF0"/>
    <w:rsid w:val="0066647C"/>
    <w:rsid w:val="006666FD"/>
    <w:rsid w:val="00673048"/>
    <w:rsid w:val="006731EE"/>
    <w:rsid w:val="00673471"/>
    <w:rsid w:val="00673650"/>
    <w:rsid w:val="0067471C"/>
    <w:rsid w:val="0067473A"/>
    <w:rsid w:val="00674BF0"/>
    <w:rsid w:val="0067648B"/>
    <w:rsid w:val="00676E40"/>
    <w:rsid w:val="00677FC6"/>
    <w:rsid w:val="0068011C"/>
    <w:rsid w:val="00680A81"/>
    <w:rsid w:val="006811EA"/>
    <w:rsid w:val="006836ED"/>
    <w:rsid w:val="0068388C"/>
    <w:rsid w:val="006839C1"/>
    <w:rsid w:val="0068429A"/>
    <w:rsid w:val="00685837"/>
    <w:rsid w:val="006866C7"/>
    <w:rsid w:val="00690C13"/>
    <w:rsid w:val="00690E45"/>
    <w:rsid w:val="006929EE"/>
    <w:rsid w:val="006932A0"/>
    <w:rsid w:val="00693A97"/>
    <w:rsid w:val="00693B48"/>
    <w:rsid w:val="00694015"/>
    <w:rsid w:val="00695269"/>
    <w:rsid w:val="0069539C"/>
    <w:rsid w:val="00695808"/>
    <w:rsid w:val="00695D6E"/>
    <w:rsid w:val="00696A4F"/>
    <w:rsid w:val="00696B68"/>
    <w:rsid w:val="0069704E"/>
    <w:rsid w:val="006979A7"/>
    <w:rsid w:val="006A0A23"/>
    <w:rsid w:val="006A0C22"/>
    <w:rsid w:val="006A1EE8"/>
    <w:rsid w:val="006A30FD"/>
    <w:rsid w:val="006A42F8"/>
    <w:rsid w:val="006A4D87"/>
    <w:rsid w:val="006A6BD1"/>
    <w:rsid w:val="006A6DBD"/>
    <w:rsid w:val="006B00EA"/>
    <w:rsid w:val="006B09DC"/>
    <w:rsid w:val="006B0BEE"/>
    <w:rsid w:val="006B1979"/>
    <w:rsid w:val="006B199F"/>
    <w:rsid w:val="006B2254"/>
    <w:rsid w:val="006B419F"/>
    <w:rsid w:val="006B43EC"/>
    <w:rsid w:val="006B46FB"/>
    <w:rsid w:val="006B4E83"/>
    <w:rsid w:val="006B53CF"/>
    <w:rsid w:val="006B572B"/>
    <w:rsid w:val="006B7593"/>
    <w:rsid w:val="006B7E5B"/>
    <w:rsid w:val="006C04BD"/>
    <w:rsid w:val="006C04C8"/>
    <w:rsid w:val="006C06D5"/>
    <w:rsid w:val="006C0F2E"/>
    <w:rsid w:val="006C1444"/>
    <w:rsid w:val="006C2EEB"/>
    <w:rsid w:val="006C2F3C"/>
    <w:rsid w:val="006C301F"/>
    <w:rsid w:val="006C377F"/>
    <w:rsid w:val="006C38AF"/>
    <w:rsid w:val="006C5881"/>
    <w:rsid w:val="006C6E16"/>
    <w:rsid w:val="006C70B5"/>
    <w:rsid w:val="006C749C"/>
    <w:rsid w:val="006D0C1E"/>
    <w:rsid w:val="006D18EA"/>
    <w:rsid w:val="006D1AC4"/>
    <w:rsid w:val="006D3817"/>
    <w:rsid w:val="006D38B6"/>
    <w:rsid w:val="006D39ED"/>
    <w:rsid w:val="006D40DD"/>
    <w:rsid w:val="006D48FC"/>
    <w:rsid w:val="006D4CDF"/>
    <w:rsid w:val="006D5012"/>
    <w:rsid w:val="006D7D3C"/>
    <w:rsid w:val="006E04AD"/>
    <w:rsid w:val="006E21FB"/>
    <w:rsid w:val="006E285C"/>
    <w:rsid w:val="006E33D2"/>
    <w:rsid w:val="006E3570"/>
    <w:rsid w:val="006E38B8"/>
    <w:rsid w:val="006E3EF4"/>
    <w:rsid w:val="006E5057"/>
    <w:rsid w:val="006E50CB"/>
    <w:rsid w:val="006E6A6B"/>
    <w:rsid w:val="006E7EA9"/>
    <w:rsid w:val="006F002C"/>
    <w:rsid w:val="006F0086"/>
    <w:rsid w:val="006F0DE7"/>
    <w:rsid w:val="006F1870"/>
    <w:rsid w:val="006F1E3A"/>
    <w:rsid w:val="006F248D"/>
    <w:rsid w:val="006F2A20"/>
    <w:rsid w:val="006F3F3F"/>
    <w:rsid w:val="006F5F95"/>
    <w:rsid w:val="00700E2A"/>
    <w:rsid w:val="00701990"/>
    <w:rsid w:val="00701FD7"/>
    <w:rsid w:val="00703883"/>
    <w:rsid w:val="00704540"/>
    <w:rsid w:val="00704DD1"/>
    <w:rsid w:val="0070540F"/>
    <w:rsid w:val="00705BC5"/>
    <w:rsid w:val="007064B1"/>
    <w:rsid w:val="00706D98"/>
    <w:rsid w:val="00706E96"/>
    <w:rsid w:val="00707DCD"/>
    <w:rsid w:val="00707DDD"/>
    <w:rsid w:val="00707FF5"/>
    <w:rsid w:val="00710106"/>
    <w:rsid w:val="0071092C"/>
    <w:rsid w:val="00710FEA"/>
    <w:rsid w:val="007118A0"/>
    <w:rsid w:val="0071202B"/>
    <w:rsid w:val="00713B2B"/>
    <w:rsid w:val="00713E0C"/>
    <w:rsid w:val="00714B27"/>
    <w:rsid w:val="00715D4A"/>
    <w:rsid w:val="007176AD"/>
    <w:rsid w:val="007176FF"/>
    <w:rsid w:val="00720426"/>
    <w:rsid w:val="00720F99"/>
    <w:rsid w:val="007221AD"/>
    <w:rsid w:val="0072258E"/>
    <w:rsid w:val="007235B5"/>
    <w:rsid w:val="00723FF3"/>
    <w:rsid w:val="00724CC1"/>
    <w:rsid w:val="00724CC7"/>
    <w:rsid w:val="0072570E"/>
    <w:rsid w:val="00726F0C"/>
    <w:rsid w:val="007276E6"/>
    <w:rsid w:val="00730245"/>
    <w:rsid w:val="007307BF"/>
    <w:rsid w:val="00731369"/>
    <w:rsid w:val="00731BAE"/>
    <w:rsid w:val="007321F4"/>
    <w:rsid w:val="00732368"/>
    <w:rsid w:val="00735591"/>
    <w:rsid w:val="00737B38"/>
    <w:rsid w:val="007403B3"/>
    <w:rsid w:val="00741652"/>
    <w:rsid w:val="007416E4"/>
    <w:rsid w:val="00742109"/>
    <w:rsid w:val="0074293E"/>
    <w:rsid w:val="00743480"/>
    <w:rsid w:val="00744636"/>
    <w:rsid w:val="00745F08"/>
    <w:rsid w:val="007462BB"/>
    <w:rsid w:val="00750183"/>
    <w:rsid w:val="00750393"/>
    <w:rsid w:val="0075082D"/>
    <w:rsid w:val="00750BE3"/>
    <w:rsid w:val="00751002"/>
    <w:rsid w:val="007515F1"/>
    <w:rsid w:val="00751BCD"/>
    <w:rsid w:val="00752321"/>
    <w:rsid w:val="00753765"/>
    <w:rsid w:val="00753AE1"/>
    <w:rsid w:val="00754452"/>
    <w:rsid w:val="0075498B"/>
    <w:rsid w:val="007553E3"/>
    <w:rsid w:val="007579D9"/>
    <w:rsid w:val="00757D00"/>
    <w:rsid w:val="00761877"/>
    <w:rsid w:val="007619BA"/>
    <w:rsid w:val="0076257F"/>
    <w:rsid w:val="00762EC6"/>
    <w:rsid w:val="00763ADA"/>
    <w:rsid w:val="00763E28"/>
    <w:rsid w:val="007641C6"/>
    <w:rsid w:val="00764F54"/>
    <w:rsid w:val="007651B6"/>
    <w:rsid w:val="00765212"/>
    <w:rsid w:val="00766309"/>
    <w:rsid w:val="00770677"/>
    <w:rsid w:val="00770E07"/>
    <w:rsid w:val="007718DD"/>
    <w:rsid w:val="0077231A"/>
    <w:rsid w:val="0077245F"/>
    <w:rsid w:val="00772BB8"/>
    <w:rsid w:val="00774793"/>
    <w:rsid w:val="00775116"/>
    <w:rsid w:val="007772DF"/>
    <w:rsid w:val="007775F4"/>
    <w:rsid w:val="00777682"/>
    <w:rsid w:val="007807CD"/>
    <w:rsid w:val="00780FEE"/>
    <w:rsid w:val="007837FE"/>
    <w:rsid w:val="00784AE2"/>
    <w:rsid w:val="0078516E"/>
    <w:rsid w:val="00785D77"/>
    <w:rsid w:val="00786471"/>
    <w:rsid w:val="00787020"/>
    <w:rsid w:val="0078703B"/>
    <w:rsid w:val="007873D3"/>
    <w:rsid w:val="0078750E"/>
    <w:rsid w:val="007905BB"/>
    <w:rsid w:val="007919F0"/>
    <w:rsid w:val="00792342"/>
    <w:rsid w:val="00792C49"/>
    <w:rsid w:val="00793058"/>
    <w:rsid w:val="0079374B"/>
    <w:rsid w:val="00793834"/>
    <w:rsid w:val="00793854"/>
    <w:rsid w:val="00793B71"/>
    <w:rsid w:val="007953A5"/>
    <w:rsid w:val="007962CE"/>
    <w:rsid w:val="0079650D"/>
    <w:rsid w:val="00796571"/>
    <w:rsid w:val="00796879"/>
    <w:rsid w:val="007977A8"/>
    <w:rsid w:val="007977EB"/>
    <w:rsid w:val="00797C1D"/>
    <w:rsid w:val="00797EA2"/>
    <w:rsid w:val="007A4797"/>
    <w:rsid w:val="007A4B4D"/>
    <w:rsid w:val="007A4F16"/>
    <w:rsid w:val="007A5991"/>
    <w:rsid w:val="007A6293"/>
    <w:rsid w:val="007A7CE8"/>
    <w:rsid w:val="007B1B63"/>
    <w:rsid w:val="007B1FF2"/>
    <w:rsid w:val="007B27A3"/>
    <w:rsid w:val="007B512A"/>
    <w:rsid w:val="007B5E28"/>
    <w:rsid w:val="007B68D9"/>
    <w:rsid w:val="007B6B84"/>
    <w:rsid w:val="007B6C98"/>
    <w:rsid w:val="007B6F53"/>
    <w:rsid w:val="007B79F7"/>
    <w:rsid w:val="007C1DBF"/>
    <w:rsid w:val="007C2097"/>
    <w:rsid w:val="007C2350"/>
    <w:rsid w:val="007C31A7"/>
    <w:rsid w:val="007C3399"/>
    <w:rsid w:val="007C4109"/>
    <w:rsid w:val="007C467C"/>
    <w:rsid w:val="007C5CA4"/>
    <w:rsid w:val="007C6751"/>
    <w:rsid w:val="007C74B8"/>
    <w:rsid w:val="007C77C2"/>
    <w:rsid w:val="007D0134"/>
    <w:rsid w:val="007D44A6"/>
    <w:rsid w:val="007D4903"/>
    <w:rsid w:val="007D4A76"/>
    <w:rsid w:val="007D4C22"/>
    <w:rsid w:val="007D617D"/>
    <w:rsid w:val="007D6A07"/>
    <w:rsid w:val="007E000C"/>
    <w:rsid w:val="007E06AB"/>
    <w:rsid w:val="007E0FE0"/>
    <w:rsid w:val="007E23C4"/>
    <w:rsid w:val="007E2BAD"/>
    <w:rsid w:val="007E3194"/>
    <w:rsid w:val="007E3CCB"/>
    <w:rsid w:val="007E4FD7"/>
    <w:rsid w:val="007E5D59"/>
    <w:rsid w:val="007E5EA3"/>
    <w:rsid w:val="007E63CE"/>
    <w:rsid w:val="007E711A"/>
    <w:rsid w:val="007E7572"/>
    <w:rsid w:val="007E7A2E"/>
    <w:rsid w:val="007F029E"/>
    <w:rsid w:val="007F048D"/>
    <w:rsid w:val="007F0B2C"/>
    <w:rsid w:val="007F27A7"/>
    <w:rsid w:val="007F4F6E"/>
    <w:rsid w:val="007F6E12"/>
    <w:rsid w:val="007F7259"/>
    <w:rsid w:val="007F7309"/>
    <w:rsid w:val="007F7BE9"/>
    <w:rsid w:val="0080054E"/>
    <w:rsid w:val="008008B2"/>
    <w:rsid w:val="00801BCC"/>
    <w:rsid w:val="008021A6"/>
    <w:rsid w:val="00802A78"/>
    <w:rsid w:val="008033F6"/>
    <w:rsid w:val="008040A8"/>
    <w:rsid w:val="0080417A"/>
    <w:rsid w:val="008041D8"/>
    <w:rsid w:val="00804C24"/>
    <w:rsid w:val="00804E7D"/>
    <w:rsid w:val="0080525A"/>
    <w:rsid w:val="008054E0"/>
    <w:rsid w:val="008059B1"/>
    <w:rsid w:val="008059DA"/>
    <w:rsid w:val="00807826"/>
    <w:rsid w:val="00807E2F"/>
    <w:rsid w:val="00810818"/>
    <w:rsid w:val="008117E3"/>
    <w:rsid w:val="0081196A"/>
    <w:rsid w:val="00811A0A"/>
    <w:rsid w:val="0081201C"/>
    <w:rsid w:val="008120DB"/>
    <w:rsid w:val="008123A9"/>
    <w:rsid w:val="0081271B"/>
    <w:rsid w:val="008128E9"/>
    <w:rsid w:val="0081342A"/>
    <w:rsid w:val="00813ADD"/>
    <w:rsid w:val="0081464A"/>
    <w:rsid w:val="00816030"/>
    <w:rsid w:val="00816118"/>
    <w:rsid w:val="0081738C"/>
    <w:rsid w:val="0082034E"/>
    <w:rsid w:val="00822EDC"/>
    <w:rsid w:val="00823492"/>
    <w:rsid w:val="008237D1"/>
    <w:rsid w:val="00824AF9"/>
    <w:rsid w:val="00825C38"/>
    <w:rsid w:val="00825FD1"/>
    <w:rsid w:val="008279FA"/>
    <w:rsid w:val="00830FF9"/>
    <w:rsid w:val="00832074"/>
    <w:rsid w:val="00832F63"/>
    <w:rsid w:val="00833103"/>
    <w:rsid w:val="008339C4"/>
    <w:rsid w:val="008349B4"/>
    <w:rsid w:val="0083609A"/>
    <w:rsid w:val="008369F5"/>
    <w:rsid w:val="00837BE6"/>
    <w:rsid w:val="0084172E"/>
    <w:rsid w:val="0084229F"/>
    <w:rsid w:val="00842943"/>
    <w:rsid w:val="00843C21"/>
    <w:rsid w:val="00843F3E"/>
    <w:rsid w:val="00844361"/>
    <w:rsid w:val="0084617E"/>
    <w:rsid w:val="00847608"/>
    <w:rsid w:val="0084790C"/>
    <w:rsid w:val="00847DB5"/>
    <w:rsid w:val="0085017D"/>
    <w:rsid w:val="00851401"/>
    <w:rsid w:val="008514C5"/>
    <w:rsid w:val="00852F84"/>
    <w:rsid w:val="008532E6"/>
    <w:rsid w:val="00853534"/>
    <w:rsid w:val="00853734"/>
    <w:rsid w:val="0085390A"/>
    <w:rsid w:val="00854337"/>
    <w:rsid w:val="008551CF"/>
    <w:rsid w:val="00855227"/>
    <w:rsid w:val="00855415"/>
    <w:rsid w:val="00855819"/>
    <w:rsid w:val="00857861"/>
    <w:rsid w:val="00857CA6"/>
    <w:rsid w:val="00861C42"/>
    <w:rsid w:val="008626E7"/>
    <w:rsid w:val="008631B8"/>
    <w:rsid w:val="0086597E"/>
    <w:rsid w:val="00865D18"/>
    <w:rsid w:val="00867278"/>
    <w:rsid w:val="00870E73"/>
    <w:rsid w:val="00870EE7"/>
    <w:rsid w:val="00871080"/>
    <w:rsid w:val="008716D5"/>
    <w:rsid w:val="00871E72"/>
    <w:rsid w:val="0087241E"/>
    <w:rsid w:val="0087258F"/>
    <w:rsid w:val="008735AB"/>
    <w:rsid w:val="0087551F"/>
    <w:rsid w:val="00875520"/>
    <w:rsid w:val="008769DE"/>
    <w:rsid w:val="00877524"/>
    <w:rsid w:val="00877DE8"/>
    <w:rsid w:val="0088133F"/>
    <w:rsid w:val="008819D8"/>
    <w:rsid w:val="00882266"/>
    <w:rsid w:val="00882577"/>
    <w:rsid w:val="00883127"/>
    <w:rsid w:val="008833B6"/>
    <w:rsid w:val="00883B19"/>
    <w:rsid w:val="00883BEB"/>
    <w:rsid w:val="00883C62"/>
    <w:rsid w:val="00884B2D"/>
    <w:rsid w:val="0088516F"/>
    <w:rsid w:val="0088633F"/>
    <w:rsid w:val="008863B9"/>
    <w:rsid w:val="00887CC6"/>
    <w:rsid w:val="00890CCE"/>
    <w:rsid w:val="0089109A"/>
    <w:rsid w:val="0089194F"/>
    <w:rsid w:val="008949BA"/>
    <w:rsid w:val="00894AEA"/>
    <w:rsid w:val="008954CC"/>
    <w:rsid w:val="00895568"/>
    <w:rsid w:val="00895698"/>
    <w:rsid w:val="00896496"/>
    <w:rsid w:val="008968B5"/>
    <w:rsid w:val="00897CB9"/>
    <w:rsid w:val="00897E89"/>
    <w:rsid w:val="00897EC5"/>
    <w:rsid w:val="008A0AFC"/>
    <w:rsid w:val="008A0BAB"/>
    <w:rsid w:val="008A0F71"/>
    <w:rsid w:val="008A1071"/>
    <w:rsid w:val="008A1315"/>
    <w:rsid w:val="008A1403"/>
    <w:rsid w:val="008A1D72"/>
    <w:rsid w:val="008A1E33"/>
    <w:rsid w:val="008A2731"/>
    <w:rsid w:val="008A2937"/>
    <w:rsid w:val="008A3422"/>
    <w:rsid w:val="008A34BB"/>
    <w:rsid w:val="008A35AA"/>
    <w:rsid w:val="008A3A72"/>
    <w:rsid w:val="008A3C07"/>
    <w:rsid w:val="008A41CD"/>
    <w:rsid w:val="008A42C7"/>
    <w:rsid w:val="008A45A6"/>
    <w:rsid w:val="008A54E8"/>
    <w:rsid w:val="008A6C1D"/>
    <w:rsid w:val="008A6EF2"/>
    <w:rsid w:val="008A78E0"/>
    <w:rsid w:val="008A7B0B"/>
    <w:rsid w:val="008A7BF5"/>
    <w:rsid w:val="008A7F57"/>
    <w:rsid w:val="008B0385"/>
    <w:rsid w:val="008B0717"/>
    <w:rsid w:val="008B1257"/>
    <w:rsid w:val="008B1551"/>
    <w:rsid w:val="008B1612"/>
    <w:rsid w:val="008B16C7"/>
    <w:rsid w:val="008B2C72"/>
    <w:rsid w:val="008B304B"/>
    <w:rsid w:val="008B32D9"/>
    <w:rsid w:val="008B4100"/>
    <w:rsid w:val="008B4E53"/>
    <w:rsid w:val="008B64F1"/>
    <w:rsid w:val="008B668C"/>
    <w:rsid w:val="008C0559"/>
    <w:rsid w:val="008C0742"/>
    <w:rsid w:val="008C0C15"/>
    <w:rsid w:val="008C2E78"/>
    <w:rsid w:val="008C39E5"/>
    <w:rsid w:val="008C4138"/>
    <w:rsid w:val="008C60A0"/>
    <w:rsid w:val="008C61B1"/>
    <w:rsid w:val="008C6E3E"/>
    <w:rsid w:val="008C7569"/>
    <w:rsid w:val="008C79BD"/>
    <w:rsid w:val="008C7E9F"/>
    <w:rsid w:val="008C7F6B"/>
    <w:rsid w:val="008D1DBA"/>
    <w:rsid w:val="008D2344"/>
    <w:rsid w:val="008D2EB4"/>
    <w:rsid w:val="008D3AB6"/>
    <w:rsid w:val="008D4251"/>
    <w:rsid w:val="008D59E9"/>
    <w:rsid w:val="008D5B2E"/>
    <w:rsid w:val="008D5B8C"/>
    <w:rsid w:val="008D6320"/>
    <w:rsid w:val="008E13C2"/>
    <w:rsid w:val="008E22E1"/>
    <w:rsid w:val="008E23A0"/>
    <w:rsid w:val="008E577D"/>
    <w:rsid w:val="008E72A9"/>
    <w:rsid w:val="008E791A"/>
    <w:rsid w:val="008E7C8A"/>
    <w:rsid w:val="008F0B46"/>
    <w:rsid w:val="008F1023"/>
    <w:rsid w:val="008F1B23"/>
    <w:rsid w:val="008F1C80"/>
    <w:rsid w:val="008F2291"/>
    <w:rsid w:val="008F229E"/>
    <w:rsid w:val="008F2A5E"/>
    <w:rsid w:val="008F2EDC"/>
    <w:rsid w:val="008F314E"/>
    <w:rsid w:val="008F3789"/>
    <w:rsid w:val="008F3C7A"/>
    <w:rsid w:val="008F3D45"/>
    <w:rsid w:val="008F55D2"/>
    <w:rsid w:val="008F5928"/>
    <w:rsid w:val="008F597D"/>
    <w:rsid w:val="008F686C"/>
    <w:rsid w:val="008F69F7"/>
    <w:rsid w:val="008F73B0"/>
    <w:rsid w:val="008F7EB1"/>
    <w:rsid w:val="00900FED"/>
    <w:rsid w:val="00901787"/>
    <w:rsid w:val="009019CD"/>
    <w:rsid w:val="009026D1"/>
    <w:rsid w:val="0090279A"/>
    <w:rsid w:val="00903B9C"/>
    <w:rsid w:val="0090572E"/>
    <w:rsid w:val="009061B7"/>
    <w:rsid w:val="00907AFD"/>
    <w:rsid w:val="0091005C"/>
    <w:rsid w:val="00910073"/>
    <w:rsid w:val="00910A1E"/>
    <w:rsid w:val="009110E0"/>
    <w:rsid w:val="00911954"/>
    <w:rsid w:val="00912DB5"/>
    <w:rsid w:val="0091315F"/>
    <w:rsid w:val="00913943"/>
    <w:rsid w:val="009140BE"/>
    <w:rsid w:val="009145B8"/>
    <w:rsid w:val="009148A9"/>
    <w:rsid w:val="009148DE"/>
    <w:rsid w:val="00914C7E"/>
    <w:rsid w:val="00914DC6"/>
    <w:rsid w:val="00915813"/>
    <w:rsid w:val="00915A17"/>
    <w:rsid w:val="00917287"/>
    <w:rsid w:val="009172AC"/>
    <w:rsid w:val="00917B6B"/>
    <w:rsid w:val="00917CC1"/>
    <w:rsid w:val="00917DB0"/>
    <w:rsid w:val="00920111"/>
    <w:rsid w:val="00922B41"/>
    <w:rsid w:val="00923E83"/>
    <w:rsid w:val="00925D94"/>
    <w:rsid w:val="00925EE6"/>
    <w:rsid w:val="00926278"/>
    <w:rsid w:val="00926513"/>
    <w:rsid w:val="00930B8E"/>
    <w:rsid w:val="00931A94"/>
    <w:rsid w:val="00931CED"/>
    <w:rsid w:val="00932144"/>
    <w:rsid w:val="0093267F"/>
    <w:rsid w:val="00932ADC"/>
    <w:rsid w:val="00933E67"/>
    <w:rsid w:val="00934413"/>
    <w:rsid w:val="009349B2"/>
    <w:rsid w:val="00934D0D"/>
    <w:rsid w:val="00934D97"/>
    <w:rsid w:val="00935E88"/>
    <w:rsid w:val="009404CC"/>
    <w:rsid w:val="00940E25"/>
    <w:rsid w:val="00941467"/>
    <w:rsid w:val="00941E30"/>
    <w:rsid w:val="0094572D"/>
    <w:rsid w:val="00946607"/>
    <w:rsid w:val="0094666D"/>
    <w:rsid w:val="0095209D"/>
    <w:rsid w:val="00952492"/>
    <w:rsid w:val="009536D1"/>
    <w:rsid w:val="00954D28"/>
    <w:rsid w:val="00955112"/>
    <w:rsid w:val="00955CDE"/>
    <w:rsid w:val="00955DE4"/>
    <w:rsid w:val="00955F29"/>
    <w:rsid w:val="0095694D"/>
    <w:rsid w:val="00956F0D"/>
    <w:rsid w:val="009571B4"/>
    <w:rsid w:val="0095746D"/>
    <w:rsid w:val="009603D8"/>
    <w:rsid w:val="00960E05"/>
    <w:rsid w:val="00961E6D"/>
    <w:rsid w:val="00963528"/>
    <w:rsid w:val="009645F8"/>
    <w:rsid w:val="00964702"/>
    <w:rsid w:val="00965CFE"/>
    <w:rsid w:val="00966ECC"/>
    <w:rsid w:val="0096715C"/>
    <w:rsid w:val="00967619"/>
    <w:rsid w:val="00967C74"/>
    <w:rsid w:val="00967EE3"/>
    <w:rsid w:val="00967F24"/>
    <w:rsid w:val="00971262"/>
    <w:rsid w:val="0097136B"/>
    <w:rsid w:val="00972A0D"/>
    <w:rsid w:val="00972B48"/>
    <w:rsid w:val="00972CD8"/>
    <w:rsid w:val="00972E4D"/>
    <w:rsid w:val="00973DB0"/>
    <w:rsid w:val="00974102"/>
    <w:rsid w:val="009744C1"/>
    <w:rsid w:val="0097520B"/>
    <w:rsid w:val="009769D5"/>
    <w:rsid w:val="00976FF2"/>
    <w:rsid w:val="009777D9"/>
    <w:rsid w:val="009801A3"/>
    <w:rsid w:val="00980B3C"/>
    <w:rsid w:val="0098123E"/>
    <w:rsid w:val="0098136B"/>
    <w:rsid w:val="009814DF"/>
    <w:rsid w:val="0098157C"/>
    <w:rsid w:val="00981895"/>
    <w:rsid w:val="009822B3"/>
    <w:rsid w:val="00983036"/>
    <w:rsid w:val="00983C1D"/>
    <w:rsid w:val="00983FFD"/>
    <w:rsid w:val="009843B5"/>
    <w:rsid w:val="009847C0"/>
    <w:rsid w:val="00986134"/>
    <w:rsid w:val="009869F5"/>
    <w:rsid w:val="00987D05"/>
    <w:rsid w:val="009903D0"/>
    <w:rsid w:val="00990C40"/>
    <w:rsid w:val="00991089"/>
    <w:rsid w:val="00991839"/>
    <w:rsid w:val="009918B4"/>
    <w:rsid w:val="00991B88"/>
    <w:rsid w:val="00991D09"/>
    <w:rsid w:val="00992D22"/>
    <w:rsid w:val="00993120"/>
    <w:rsid w:val="00993E59"/>
    <w:rsid w:val="00995835"/>
    <w:rsid w:val="00996AFF"/>
    <w:rsid w:val="00996B12"/>
    <w:rsid w:val="00996F98"/>
    <w:rsid w:val="009976D8"/>
    <w:rsid w:val="0099792A"/>
    <w:rsid w:val="009A2A0E"/>
    <w:rsid w:val="009A2EF3"/>
    <w:rsid w:val="009A4744"/>
    <w:rsid w:val="009A4B55"/>
    <w:rsid w:val="009A5753"/>
    <w:rsid w:val="009A579D"/>
    <w:rsid w:val="009A7F4A"/>
    <w:rsid w:val="009B0875"/>
    <w:rsid w:val="009B0DE6"/>
    <w:rsid w:val="009B11D4"/>
    <w:rsid w:val="009B388A"/>
    <w:rsid w:val="009B3F0C"/>
    <w:rsid w:val="009B417F"/>
    <w:rsid w:val="009B5A4C"/>
    <w:rsid w:val="009B5B89"/>
    <w:rsid w:val="009B64D7"/>
    <w:rsid w:val="009B65F6"/>
    <w:rsid w:val="009B6F8F"/>
    <w:rsid w:val="009B70E1"/>
    <w:rsid w:val="009C2121"/>
    <w:rsid w:val="009C24B0"/>
    <w:rsid w:val="009C27F2"/>
    <w:rsid w:val="009C3715"/>
    <w:rsid w:val="009C5D77"/>
    <w:rsid w:val="009C6EEA"/>
    <w:rsid w:val="009D0DFA"/>
    <w:rsid w:val="009D1B27"/>
    <w:rsid w:val="009D2107"/>
    <w:rsid w:val="009D2C40"/>
    <w:rsid w:val="009D2F80"/>
    <w:rsid w:val="009D34AA"/>
    <w:rsid w:val="009D3A7D"/>
    <w:rsid w:val="009D3E43"/>
    <w:rsid w:val="009D608E"/>
    <w:rsid w:val="009D633F"/>
    <w:rsid w:val="009D6BCC"/>
    <w:rsid w:val="009D7042"/>
    <w:rsid w:val="009D7687"/>
    <w:rsid w:val="009D7B22"/>
    <w:rsid w:val="009E03B5"/>
    <w:rsid w:val="009E03FA"/>
    <w:rsid w:val="009E12CD"/>
    <w:rsid w:val="009E3297"/>
    <w:rsid w:val="009E32B4"/>
    <w:rsid w:val="009E43D6"/>
    <w:rsid w:val="009E444A"/>
    <w:rsid w:val="009E4C4A"/>
    <w:rsid w:val="009E4C81"/>
    <w:rsid w:val="009E4D1D"/>
    <w:rsid w:val="009E5295"/>
    <w:rsid w:val="009E6208"/>
    <w:rsid w:val="009E6DD4"/>
    <w:rsid w:val="009F3487"/>
    <w:rsid w:val="009F354B"/>
    <w:rsid w:val="009F4C18"/>
    <w:rsid w:val="009F5CC5"/>
    <w:rsid w:val="009F734F"/>
    <w:rsid w:val="009F74B4"/>
    <w:rsid w:val="009F79FC"/>
    <w:rsid w:val="00A00743"/>
    <w:rsid w:val="00A00B08"/>
    <w:rsid w:val="00A01A27"/>
    <w:rsid w:val="00A01FA7"/>
    <w:rsid w:val="00A02A65"/>
    <w:rsid w:val="00A0330E"/>
    <w:rsid w:val="00A03BCB"/>
    <w:rsid w:val="00A04800"/>
    <w:rsid w:val="00A0498F"/>
    <w:rsid w:val="00A05AA5"/>
    <w:rsid w:val="00A05D82"/>
    <w:rsid w:val="00A06F6F"/>
    <w:rsid w:val="00A0730C"/>
    <w:rsid w:val="00A07B40"/>
    <w:rsid w:val="00A07D24"/>
    <w:rsid w:val="00A10235"/>
    <w:rsid w:val="00A10408"/>
    <w:rsid w:val="00A10987"/>
    <w:rsid w:val="00A11137"/>
    <w:rsid w:val="00A11536"/>
    <w:rsid w:val="00A11EBE"/>
    <w:rsid w:val="00A1221D"/>
    <w:rsid w:val="00A12BBC"/>
    <w:rsid w:val="00A13529"/>
    <w:rsid w:val="00A1354A"/>
    <w:rsid w:val="00A136C0"/>
    <w:rsid w:val="00A13863"/>
    <w:rsid w:val="00A1399F"/>
    <w:rsid w:val="00A13FCD"/>
    <w:rsid w:val="00A14880"/>
    <w:rsid w:val="00A1762A"/>
    <w:rsid w:val="00A207C6"/>
    <w:rsid w:val="00A207F1"/>
    <w:rsid w:val="00A2110A"/>
    <w:rsid w:val="00A2146D"/>
    <w:rsid w:val="00A223F3"/>
    <w:rsid w:val="00A233D5"/>
    <w:rsid w:val="00A2427F"/>
    <w:rsid w:val="00A2443A"/>
    <w:rsid w:val="00A246B6"/>
    <w:rsid w:val="00A24937"/>
    <w:rsid w:val="00A250C0"/>
    <w:rsid w:val="00A25EDA"/>
    <w:rsid w:val="00A270F0"/>
    <w:rsid w:val="00A30249"/>
    <w:rsid w:val="00A3090F"/>
    <w:rsid w:val="00A311F4"/>
    <w:rsid w:val="00A313BB"/>
    <w:rsid w:val="00A32573"/>
    <w:rsid w:val="00A3299A"/>
    <w:rsid w:val="00A32EB0"/>
    <w:rsid w:val="00A35A47"/>
    <w:rsid w:val="00A41DEE"/>
    <w:rsid w:val="00A42720"/>
    <w:rsid w:val="00A4289A"/>
    <w:rsid w:val="00A42B6D"/>
    <w:rsid w:val="00A42E8F"/>
    <w:rsid w:val="00A434A2"/>
    <w:rsid w:val="00A4434B"/>
    <w:rsid w:val="00A4599E"/>
    <w:rsid w:val="00A47621"/>
    <w:rsid w:val="00A478A9"/>
    <w:rsid w:val="00A47E70"/>
    <w:rsid w:val="00A50CF0"/>
    <w:rsid w:val="00A51B1A"/>
    <w:rsid w:val="00A52CAB"/>
    <w:rsid w:val="00A52FCE"/>
    <w:rsid w:val="00A5320E"/>
    <w:rsid w:val="00A53216"/>
    <w:rsid w:val="00A556C8"/>
    <w:rsid w:val="00A57B18"/>
    <w:rsid w:val="00A57BB6"/>
    <w:rsid w:val="00A6108A"/>
    <w:rsid w:val="00A617FF"/>
    <w:rsid w:val="00A61B4B"/>
    <w:rsid w:val="00A61BFD"/>
    <w:rsid w:val="00A623A3"/>
    <w:rsid w:val="00A63915"/>
    <w:rsid w:val="00A63C50"/>
    <w:rsid w:val="00A64061"/>
    <w:rsid w:val="00A64504"/>
    <w:rsid w:val="00A64895"/>
    <w:rsid w:val="00A70874"/>
    <w:rsid w:val="00A70997"/>
    <w:rsid w:val="00A7200C"/>
    <w:rsid w:val="00A7241E"/>
    <w:rsid w:val="00A72769"/>
    <w:rsid w:val="00A74177"/>
    <w:rsid w:val="00A7423A"/>
    <w:rsid w:val="00A759E0"/>
    <w:rsid w:val="00A762F5"/>
    <w:rsid w:val="00A7634F"/>
    <w:rsid w:val="00A7671C"/>
    <w:rsid w:val="00A80AE3"/>
    <w:rsid w:val="00A81547"/>
    <w:rsid w:val="00A81C68"/>
    <w:rsid w:val="00A82890"/>
    <w:rsid w:val="00A82B6B"/>
    <w:rsid w:val="00A8348D"/>
    <w:rsid w:val="00A83A72"/>
    <w:rsid w:val="00A83E36"/>
    <w:rsid w:val="00A85050"/>
    <w:rsid w:val="00A850B8"/>
    <w:rsid w:val="00A858D1"/>
    <w:rsid w:val="00A85ED3"/>
    <w:rsid w:val="00A87053"/>
    <w:rsid w:val="00A9083A"/>
    <w:rsid w:val="00A90FD7"/>
    <w:rsid w:val="00A9304D"/>
    <w:rsid w:val="00A94C1B"/>
    <w:rsid w:val="00A951A4"/>
    <w:rsid w:val="00A95C3C"/>
    <w:rsid w:val="00A96090"/>
    <w:rsid w:val="00A96259"/>
    <w:rsid w:val="00A96485"/>
    <w:rsid w:val="00A96C3B"/>
    <w:rsid w:val="00A97523"/>
    <w:rsid w:val="00A978B9"/>
    <w:rsid w:val="00AA016E"/>
    <w:rsid w:val="00AA06DF"/>
    <w:rsid w:val="00AA2C26"/>
    <w:rsid w:val="00AA2CBC"/>
    <w:rsid w:val="00AA34B3"/>
    <w:rsid w:val="00AA5FD3"/>
    <w:rsid w:val="00AA6F05"/>
    <w:rsid w:val="00AA7BD4"/>
    <w:rsid w:val="00AB026C"/>
    <w:rsid w:val="00AB0E48"/>
    <w:rsid w:val="00AB14A3"/>
    <w:rsid w:val="00AB20C7"/>
    <w:rsid w:val="00AB2B02"/>
    <w:rsid w:val="00AB3C72"/>
    <w:rsid w:val="00AB56F4"/>
    <w:rsid w:val="00AB633C"/>
    <w:rsid w:val="00AB7D94"/>
    <w:rsid w:val="00AC06D1"/>
    <w:rsid w:val="00AC2384"/>
    <w:rsid w:val="00AC2FB1"/>
    <w:rsid w:val="00AC3E5B"/>
    <w:rsid w:val="00AC3E84"/>
    <w:rsid w:val="00AC46D5"/>
    <w:rsid w:val="00AC5820"/>
    <w:rsid w:val="00AC60ED"/>
    <w:rsid w:val="00AC65A9"/>
    <w:rsid w:val="00AC6654"/>
    <w:rsid w:val="00AC70E3"/>
    <w:rsid w:val="00AD0F32"/>
    <w:rsid w:val="00AD1B05"/>
    <w:rsid w:val="00AD1CD8"/>
    <w:rsid w:val="00AD21EE"/>
    <w:rsid w:val="00AD2B46"/>
    <w:rsid w:val="00AD3DF6"/>
    <w:rsid w:val="00AD3FFA"/>
    <w:rsid w:val="00AD4747"/>
    <w:rsid w:val="00AD4C69"/>
    <w:rsid w:val="00AD5113"/>
    <w:rsid w:val="00AD5AE6"/>
    <w:rsid w:val="00AD5D2A"/>
    <w:rsid w:val="00AD5D96"/>
    <w:rsid w:val="00AD61E0"/>
    <w:rsid w:val="00AD6336"/>
    <w:rsid w:val="00AD6963"/>
    <w:rsid w:val="00AD6F8E"/>
    <w:rsid w:val="00AD7604"/>
    <w:rsid w:val="00AE083D"/>
    <w:rsid w:val="00AE162E"/>
    <w:rsid w:val="00AE3531"/>
    <w:rsid w:val="00AE37A4"/>
    <w:rsid w:val="00AE3A08"/>
    <w:rsid w:val="00AE3AD3"/>
    <w:rsid w:val="00AE3B50"/>
    <w:rsid w:val="00AE4BB2"/>
    <w:rsid w:val="00AE51D2"/>
    <w:rsid w:val="00AE54C2"/>
    <w:rsid w:val="00AE69B6"/>
    <w:rsid w:val="00AE6CCA"/>
    <w:rsid w:val="00AE76AA"/>
    <w:rsid w:val="00AE7FF5"/>
    <w:rsid w:val="00AF0DBC"/>
    <w:rsid w:val="00AF2404"/>
    <w:rsid w:val="00AF2954"/>
    <w:rsid w:val="00AF2E38"/>
    <w:rsid w:val="00AF39E5"/>
    <w:rsid w:val="00AF49DC"/>
    <w:rsid w:val="00AF49DF"/>
    <w:rsid w:val="00AF528D"/>
    <w:rsid w:val="00AF6406"/>
    <w:rsid w:val="00AF6B22"/>
    <w:rsid w:val="00AF77F4"/>
    <w:rsid w:val="00B00404"/>
    <w:rsid w:val="00B00DF4"/>
    <w:rsid w:val="00B021A5"/>
    <w:rsid w:val="00B024D8"/>
    <w:rsid w:val="00B0321A"/>
    <w:rsid w:val="00B051D9"/>
    <w:rsid w:val="00B056A9"/>
    <w:rsid w:val="00B05BEE"/>
    <w:rsid w:val="00B06011"/>
    <w:rsid w:val="00B06545"/>
    <w:rsid w:val="00B067B5"/>
    <w:rsid w:val="00B06AC0"/>
    <w:rsid w:val="00B071D7"/>
    <w:rsid w:val="00B07BF0"/>
    <w:rsid w:val="00B07F5B"/>
    <w:rsid w:val="00B109F2"/>
    <w:rsid w:val="00B115A1"/>
    <w:rsid w:val="00B1202B"/>
    <w:rsid w:val="00B126BD"/>
    <w:rsid w:val="00B14511"/>
    <w:rsid w:val="00B14555"/>
    <w:rsid w:val="00B14F1B"/>
    <w:rsid w:val="00B15075"/>
    <w:rsid w:val="00B203B2"/>
    <w:rsid w:val="00B210D7"/>
    <w:rsid w:val="00B2116F"/>
    <w:rsid w:val="00B2277A"/>
    <w:rsid w:val="00B23520"/>
    <w:rsid w:val="00B23687"/>
    <w:rsid w:val="00B244E1"/>
    <w:rsid w:val="00B258BB"/>
    <w:rsid w:val="00B259FD"/>
    <w:rsid w:val="00B2630F"/>
    <w:rsid w:val="00B305E2"/>
    <w:rsid w:val="00B30F5F"/>
    <w:rsid w:val="00B31A79"/>
    <w:rsid w:val="00B31FD7"/>
    <w:rsid w:val="00B3233E"/>
    <w:rsid w:val="00B3359F"/>
    <w:rsid w:val="00B33D07"/>
    <w:rsid w:val="00B348A1"/>
    <w:rsid w:val="00B35E1A"/>
    <w:rsid w:val="00B35F20"/>
    <w:rsid w:val="00B37AAE"/>
    <w:rsid w:val="00B37FC8"/>
    <w:rsid w:val="00B40509"/>
    <w:rsid w:val="00B4218A"/>
    <w:rsid w:val="00B42878"/>
    <w:rsid w:val="00B43147"/>
    <w:rsid w:val="00B43149"/>
    <w:rsid w:val="00B44D87"/>
    <w:rsid w:val="00B45519"/>
    <w:rsid w:val="00B45A85"/>
    <w:rsid w:val="00B45D06"/>
    <w:rsid w:val="00B46895"/>
    <w:rsid w:val="00B52C49"/>
    <w:rsid w:val="00B5548F"/>
    <w:rsid w:val="00B57923"/>
    <w:rsid w:val="00B60530"/>
    <w:rsid w:val="00B60ECB"/>
    <w:rsid w:val="00B617D0"/>
    <w:rsid w:val="00B618F0"/>
    <w:rsid w:val="00B61A70"/>
    <w:rsid w:val="00B62EAE"/>
    <w:rsid w:val="00B62EEC"/>
    <w:rsid w:val="00B6315A"/>
    <w:rsid w:val="00B63380"/>
    <w:rsid w:val="00B63540"/>
    <w:rsid w:val="00B63DEA"/>
    <w:rsid w:val="00B640E9"/>
    <w:rsid w:val="00B6478F"/>
    <w:rsid w:val="00B65F58"/>
    <w:rsid w:val="00B6687A"/>
    <w:rsid w:val="00B67222"/>
    <w:rsid w:val="00B67B97"/>
    <w:rsid w:val="00B67DE8"/>
    <w:rsid w:val="00B71568"/>
    <w:rsid w:val="00B7187B"/>
    <w:rsid w:val="00B71A25"/>
    <w:rsid w:val="00B71D11"/>
    <w:rsid w:val="00B71EAE"/>
    <w:rsid w:val="00B72072"/>
    <w:rsid w:val="00B7250C"/>
    <w:rsid w:val="00B74446"/>
    <w:rsid w:val="00B760D0"/>
    <w:rsid w:val="00B762D7"/>
    <w:rsid w:val="00B766D2"/>
    <w:rsid w:val="00B76772"/>
    <w:rsid w:val="00B76ECA"/>
    <w:rsid w:val="00B7798C"/>
    <w:rsid w:val="00B77CC8"/>
    <w:rsid w:val="00B808E1"/>
    <w:rsid w:val="00B80BAE"/>
    <w:rsid w:val="00B82DD2"/>
    <w:rsid w:val="00B82DDE"/>
    <w:rsid w:val="00B83320"/>
    <w:rsid w:val="00B85903"/>
    <w:rsid w:val="00B8725F"/>
    <w:rsid w:val="00B9093C"/>
    <w:rsid w:val="00B90D4D"/>
    <w:rsid w:val="00B91676"/>
    <w:rsid w:val="00B91ACA"/>
    <w:rsid w:val="00B92222"/>
    <w:rsid w:val="00B92B1F"/>
    <w:rsid w:val="00B92DD3"/>
    <w:rsid w:val="00B94349"/>
    <w:rsid w:val="00B9568A"/>
    <w:rsid w:val="00B96031"/>
    <w:rsid w:val="00B964A2"/>
    <w:rsid w:val="00B967B5"/>
    <w:rsid w:val="00B968C8"/>
    <w:rsid w:val="00B974BF"/>
    <w:rsid w:val="00BA07F1"/>
    <w:rsid w:val="00BA0928"/>
    <w:rsid w:val="00BA0A45"/>
    <w:rsid w:val="00BA168D"/>
    <w:rsid w:val="00BA227E"/>
    <w:rsid w:val="00BA26D6"/>
    <w:rsid w:val="00BA2AD7"/>
    <w:rsid w:val="00BA2B84"/>
    <w:rsid w:val="00BA3868"/>
    <w:rsid w:val="00BA39AD"/>
    <w:rsid w:val="00BA3EC5"/>
    <w:rsid w:val="00BA40CB"/>
    <w:rsid w:val="00BA428B"/>
    <w:rsid w:val="00BA4397"/>
    <w:rsid w:val="00BA45E4"/>
    <w:rsid w:val="00BA51D9"/>
    <w:rsid w:val="00BA67A4"/>
    <w:rsid w:val="00BA7463"/>
    <w:rsid w:val="00BA7850"/>
    <w:rsid w:val="00BB1855"/>
    <w:rsid w:val="00BB1BE3"/>
    <w:rsid w:val="00BB26DA"/>
    <w:rsid w:val="00BB2DC3"/>
    <w:rsid w:val="00BB589F"/>
    <w:rsid w:val="00BB5D8F"/>
    <w:rsid w:val="00BB5DFC"/>
    <w:rsid w:val="00BB6237"/>
    <w:rsid w:val="00BB6BFB"/>
    <w:rsid w:val="00BC19AF"/>
    <w:rsid w:val="00BC320D"/>
    <w:rsid w:val="00BC33F3"/>
    <w:rsid w:val="00BC4BD1"/>
    <w:rsid w:val="00BC51E7"/>
    <w:rsid w:val="00BC571E"/>
    <w:rsid w:val="00BC7162"/>
    <w:rsid w:val="00BC7577"/>
    <w:rsid w:val="00BC762D"/>
    <w:rsid w:val="00BD0F22"/>
    <w:rsid w:val="00BD23B7"/>
    <w:rsid w:val="00BD23E4"/>
    <w:rsid w:val="00BD279D"/>
    <w:rsid w:val="00BD38F8"/>
    <w:rsid w:val="00BD3BC8"/>
    <w:rsid w:val="00BD5980"/>
    <w:rsid w:val="00BD5D6A"/>
    <w:rsid w:val="00BD691C"/>
    <w:rsid w:val="00BD6BB8"/>
    <w:rsid w:val="00BD6CFE"/>
    <w:rsid w:val="00BE02D8"/>
    <w:rsid w:val="00BE0C9C"/>
    <w:rsid w:val="00BE107C"/>
    <w:rsid w:val="00BE1197"/>
    <w:rsid w:val="00BE224A"/>
    <w:rsid w:val="00BE2928"/>
    <w:rsid w:val="00BE4451"/>
    <w:rsid w:val="00BE6351"/>
    <w:rsid w:val="00BE6419"/>
    <w:rsid w:val="00BE67C2"/>
    <w:rsid w:val="00BE7787"/>
    <w:rsid w:val="00BE78B9"/>
    <w:rsid w:val="00BF0B2A"/>
    <w:rsid w:val="00BF0FEF"/>
    <w:rsid w:val="00BF131E"/>
    <w:rsid w:val="00BF1464"/>
    <w:rsid w:val="00BF3211"/>
    <w:rsid w:val="00BF7C4F"/>
    <w:rsid w:val="00BF7DB8"/>
    <w:rsid w:val="00C00DCC"/>
    <w:rsid w:val="00C015D0"/>
    <w:rsid w:val="00C02CAB"/>
    <w:rsid w:val="00C0303C"/>
    <w:rsid w:val="00C04B23"/>
    <w:rsid w:val="00C04EF4"/>
    <w:rsid w:val="00C05561"/>
    <w:rsid w:val="00C0695F"/>
    <w:rsid w:val="00C074C9"/>
    <w:rsid w:val="00C10317"/>
    <w:rsid w:val="00C105ED"/>
    <w:rsid w:val="00C10844"/>
    <w:rsid w:val="00C109B2"/>
    <w:rsid w:val="00C1156B"/>
    <w:rsid w:val="00C11F76"/>
    <w:rsid w:val="00C1314D"/>
    <w:rsid w:val="00C1333D"/>
    <w:rsid w:val="00C13832"/>
    <w:rsid w:val="00C13A14"/>
    <w:rsid w:val="00C13A25"/>
    <w:rsid w:val="00C14E44"/>
    <w:rsid w:val="00C15146"/>
    <w:rsid w:val="00C156BB"/>
    <w:rsid w:val="00C15FBC"/>
    <w:rsid w:val="00C15FDC"/>
    <w:rsid w:val="00C165B6"/>
    <w:rsid w:val="00C16DF8"/>
    <w:rsid w:val="00C200EB"/>
    <w:rsid w:val="00C20275"/>
    <w:rsid w:val="00C206D1"/>
    <w:rsid w:val="00C21F70"/>
    <w:rsid w:val="00C226F1"/>
    <w:rsid w:val="00C22DA5"/>
    <w:rsid w:val="00C25444"/>
    <w:rsid w:val="00C25F98"/>
    <w:rsid w:val="00C26462"/>
    <w:rsid w:val="00C26D8E"/>
    <w:rsid w:val="00C31ED3"/>
    <w:rsid w:val="00C32349"/>
    <w:rsid w:val="00C32E53"/>
    <w:rsid w:val="00C3443B"/>
    <w:rsid w:val="00C357A0"/>
    <w:rsid w:val="00C37584"/>
    <w:rsid w:val="00C376B7"/>
    <w:rsid w:val="00C40CEC"/>
    <w:rsid w:val="00C4153D"/>
    <w:rsid w:val="00C41FDC"/>
    <w:rsid w:val="00C424D1"/>
    <w:rsid w:val="00C425D3"/>
    <w:rsid w:val="00C42798"/>
    <w:rsid w:val="00C43114"/>
    <w:rsid w:val="00C4379A"/>
    <w:rsid w:val="00C43A49"/>
    <w:rsid w:val="00C44682"/>
    <w:rsid w:val="00C44B74"/>
    <w:rsid w:val="00C44CF2"/>
    <w:rsid w:val="00C44D62"/>
    <w:rsid w:val="00C4530E"/>
    <w:rsid w:val="00C45CB4"/>
    <w:rsid w:val="00C508BF"/>
    <w:rsid w:val="00C5130E"/>
    <w:rsid w:val="00C517AA"/>
    <w:rsid w:val="00C51D3A"/>
    <w:rsid w:val="00C52178"/>
    <w:rsid w:val="00C527E0"/>
    <w:rsid w:val="00C5338E"/>
    <w:rsid w:val="00C5372F"/>
    <w:rsid w:val="00C53B2D"/>
    <w:rsid w:val="00C54881"/>
    <w:rsid w:val="00C54E75"/>
    <w:rsid w:val="00C54F07"/>
    <w:rsid w:val="00C555CB"/>
    <w:rsid w:val="00C556FE"/>
    <w:rsid w:val="00C55731"/>
    <w:rsid w:val="00C558F2"/>
    <w:rsid w:val="00C55E40"/>
    <w:rsid w:val="00C55F35"/>
    <w:rsid w:val="00C5757B"/>
    <w:rsid w:val="00C604D3"/>
    <w:rsid w:val="00C60C67"/>
    <w:rsid w:val="00C616A2"/>
    <w:rsid w:val="00C61A97"/>
    <w:rsid w:val="00C61B17"/>
    <w:rsid w:val="00C623EC"/>
    <w:rsid w:val="00C624C2"/>
    <w:rsid w:val="00C6267B"/>
    <w:rsid w:val="00C644E8"/>
    <w:rsid w:val="00C6454B"/>
    <w:rsid w:val="00C6477F"/>
    <w:rsid w:val="00C64ADE"/>
    <w:rsid w:val="00C65706"/>
    <w:rsid w:val="00C66BA2"/>
    <w:rsid w:val="00C672ED"/>
    <w:rsid w:val="00C70069"/>
    <w:rsid w:val="00C7130B"/>
    <w:rsid w:val="00C71636"/>
    <w:rsid w:val="00C719F1"/>
    <w:rsid w:val="00C71C7E"/>
    <w:rsid w:val="00C71C97"/>
    <w:rsid w:val="00C728A1"/>
    <w:rsid w:val="00C72DA7"/>
    <w:rsid w:val="00C7448F"/>
    <w:rsid w:val="00C802A9"/>
    <w:rsid w:val="00C809B8"/>
    <w:rsid w:val="00C80ED6"/>
    <w:rsid w:val="00C816B4"/>
    <w:rsid w:val="00C817D7"/>
    <w:rsid w:val="00C81C87"/>
    <w:rsid w:val="00C82B79"/>
    <w:rsid w:val="00C83E94"/>
    <w:rsid w:val="00C84C90"/>
    <w:rsid w:val="00C85164"/>
    <w:rsid w:val="00C85F01"/>
    <w:rsid w:val="00C87287"/>
    <w:rsid w:val="00C8788E"/>
    <w:rsid w:val="00C900C7"/>
    <w:rsid w:val="00C900C8"/>
    <w:rsid w:val="00C90363"/>
    <w:rsid w:val="00C90BCB"/>
    <w:rsid w:val="00C90D07"/>
    <w:rsid w:val="00C913B5"/>
    <w:rsid w:val="00C9174D"/>
    <w:rsid w:val="00C9462E"/>
    <w:rsid w:val="00C946D1"/>
    <w:rsid w:val="00C94B65"/>
    <w:rsid w:val="00C94DD9"/>
    <w:rsid w:val="00C95985"/>
    <w:rsid w:val="00CA06AC"/>
    <w:rsid w:val="00CA12DF"/>
    <w:rsid w:val="00CA1489"/>
    <w:rsid w:val="00CA26B7"/>
    <w:rsid w:val="00CA4006"/>
    <w:rsid w:val="00CA5819"/>
    <w:rsid w:val="00CA5EE1"/>
    <w:rsid w:val="00CA6F67"/>
    <w:rsid w:val="00CA7370"/>
    <w:rsid w:val="00CA7419"/>
    <w:rsid w:val="00CB2779"/>
    <w:rsid w:val="00CB2D23"/>
    <w:rsid w:val="00CB33AA"/>
    <w:rsid w:val="00CB33F8"/>
    <w:rsid w:val="00CB76DF"/>
    <w:rsid w:val="00CB7892"/>
    <w:rsid w:val="00CB7D50"/>
    <w:rsid w:val="00CB7F74"/>
    <w:rsid w:val="00CC007D"/>
    <w:rsid w:val="00CC1A9E"/>
    <w:rsid w:val="00CC1CE6"/>
    <w:rsid w:val="00CC2FAE"/>
    <w:rsid w:val="00CC32D4"/>
    <w:rsid w:val="00CC4CCB"/>
    <w:rsid w:val="00CC4EB5"/>
    <w:rsid w:val="00CC5026"/>
    <w:rsid w:val="00CC68D0"/>
    <w:rsid w:val="00CC6C22"/>
    <w:rsid w:val="00CC6C63"/>
    <w:rsid w:val="00CC74BA"/>
    <w:rsid w:val="00CC758E"/>
    <w:rsid w:val="00CC7A1E"/>
    <w:rsid w:val="00CC7D06"/>
    <w:rsid w:val="00CD003F"/>
    <w:rsid w:val="00CD0C72"/>
    <w:rsid w:val="00CD10D2"/>
    <w:rsid w:val="00CD1666"/>
    <w:rsid w:val="00CD1B80"/>
    <w:rsid w:val="00CD208A"/>
    <w:rsid w:val="00CD21BB"/>
    <w:rsid w:val="00CD2FFE"/>
    <w:rsid w:val="00CD3A81"/>
    <w:rsid w:val="00CD3E52"/>
    <w:rsid w:val="00CD45E5"/>
    <w:rsid w:val="00CD6F2E"/>
    <w:rsid w:val="00CE0602"/>
    <w:rsid w:val="00CE0658"/>
    <w:rsid w:val="00CE1E1D"/>
    <w:rsid w:val="00CE3CC6"/>
    <w:rsid w:val="00CE4692"/>
    <w:rsid w:val="00CE46C7"/>
    <w:rsid w:val="00CE7B06"/>
    <w:rsid w:val="00CE7B28"/>
    <w:rsid w:val="00CF0CCD"/>
    <w:rsid w:val="00CF1039"/>
    <w:rsid w:val="00CF32F7"/>
    <w:rsid w:val="00CF37FC"/>
    <w:rsid w:val="00CF390B"/>
    <w:rsid w:val="00CF458A"/>
    <w:rsid w:val="00CF46AA"/>
    <w:rsid w:val="00CF4788"/>
    <w:rsid w:val="00CF5227"/>
    <w:rsid w:val="00CF65CE"/>
    <w:rsid w:val="00CF67A7"/>
    <w:rsid w:val="00D01872"/>
    <w:rsid w:val="00D01AE5"/>
    <w:rsid w:val="00D01E4E"/>
    <w:rsid w:val="00D03F9A"/>
    <w:rsid w:val="00D040F9"/>
    <w:rsid w:val="00D055DD"/>
    <w:rsid w:val="00D06D51"/>
    <w:rsid w:val="00D103A5"/>
    <w:rsid w:val="00D1157F"/>
    <w:rsid w:val="00D11DF2"/>
    <w:rsid w:val="00D11F3F"/>
    <w:rsid w:val="00D1308E"/>
    <w:rsid w:val="00D1349A"/>
    <w:rsid w:val="00D13C4E"/>
    <w:rsid w:val="00D15963"/>
    <w:rsid w:val="00D17689"/>
    <w:rsid w:val="00D20B82"/>
    <w:rsid w:val="00D21555"/>
    <w:rsid w:val="00D21C83"/>
    <w:rsid w:val="00D22275"/>
    <w:rsid w:val="00D22847"/>
    <w:rsid w:val="00D2442C"/>
    <w:rsid w:val="00D2451D"/>
    <w:rsid w:val="00D24991"/>
    <w:rsid w:val="00D24F07"/>
    <w:rsid w:val="00D27AB8"/>
    <w:rsid w:val="00D309D3"/>
    <w:rsid w:val="00D31EE3"/>
    <w:rsid w:val="00D32D1A"/>
    <w:rsid w:val="00D33D15"/>
    <w:rsid w:val="00D36A84"/>
    <w:rsid w:val="00D372C0"/>
    <w:rsid w:val="00D373DC"/>
    <w:rsid w:val="00D37954"/>
    <w:rsid w:val="00D37A78"/>
    <w:rsid w:val="00D4007A"/>
    <w:rsid w:val="00D401C2"/>
    <w:rsid w:val="00D40925"/>
    <w:rsid w:val="00D41872"/>
    <w:rsid w:val="00D422B3"/>
    <w:rsid w:val="00D43E21"/>
    <w:rsid w:val="00D448BE"/>
    <w:rsid w:val="00D47221"/>
    <w:rsid w:val="00D47E62"/>
    <w:rsid w:val="00D50255"/>
    <w:rsid w:val="00D504EF"/>
    <w:rsid w:val="00D50C57"/>
    <w:rsid w:val="00D52A31"/>
    <w:rsid w:val="00D52D02"/>
    <w:rsid w:val="00D5319C"/>
    <w:rsid w:val="00D53F24"/>
    <w:rsid w:val="00D5430A"/>
    <w:rsid w:val="00D55AD7"/>
    <w:rsid w:val="00D55BA7"/>
    <w:rsid w:val="00D5628B"/>
    <w:rsid w:val="00D56361"/>
    <w:rsid w:val="00D5654A"/>
    <w:rsid w:val="00D60FFB"/>
    <w:rsid w:val="00D61122"/>
    <w:rsid w:val="00D630BA"/>
    <w:rsid w:val="00D636AC"/>
    <w:rsid w:val="00D64311"/>
    <w:rsid w:val="00D6446B"/>
    <w:rsid w:val="00D664A3"/>
    <w:rsid w:val="00D66520"/>
    <w:rsid w:val="00D7065A"/>
    <w:rsid w:val="00D707A4"/>
    <w:rsid w:val="00D71993"/>
    <w:rsid w:val="00D71B1C"/>
    <w:rsid w:val="00D72BE4"/>
    <w:rsid w:val="00D73212"/>
    <w:rsid w:val="00D73470"/>
    <w:rsid w:val="00D73D9E"/>
    <w:rsid w:val="00D757E1"/>
    <w:rsid w:val="00D75886"/>
    <w:rsid w:val="00D76966"/>
    <w:rsid w:val="00D82763"/>
    <w:rsid w:val="00D83380"/>
    <w:rsid w:val="00D83FA5"/>
    <w:rsid w:val="00D844E4"/>
    <w:rsid w:val="00D84728"/>
    <w:rsid w:val="00D84CC4"/>
    <w:rsid w:val="00D85297"/>
    <w:rsid w:val="00D85A33"/>
    <w:rsid w:val="00D8619C"/>
    <w:rsid w:val="00D86251"/>
    <w:rsid w:val="00D86BE2"/>
    <w:rsid w:val="00D87B5B"/>
    <w:rsid w:val="00D87E10"/>
    <w:rsid w:val="00D904C7"/>
    <w:rsid w:val="00D920E7"/>
    <w:rsid w:val="00D930A2"/>
    <w:rsid w:val="00D93C54"/>
    <w:rsid w:val="00D94A03"/>
    <w:rsid w:val="00D94C93"/>
    <w:rsid w:val="00D94D45"/>
    <w:rsid w:val="00D94E61"/>
    <w:rsid w:val="00D95B0C"/>
    <w:rsid w:val="00D95BD4"/>
    <w:rsid w:val="00D96FD0"/>
    <w:rsid w:val="00D97642"/>
    <w:rsid w:val="00D9799A"/>
    <w:rsid w:val="00D97B2B"/>
    <w:rsid w:val="00DA1416"/>
    <w:rsid w:val="00DA2DFA"/>
    <w:rsid w:val="00DA3D23"/>
    <w:rsid w:val="00DA43DE"/>
    <w:rsid w:val="00DA4BAF"/>
    <w:rsid w:val="00DA539E"/>
    <w:rsid w:val="00DA776A"/>
    <w:rsid w:val="00DB05CD"/>
    <w:rsid w:val="00DB0986"/>
    <w:rsid w:val="00DB3FC0"/>
    <w:rsid w:val="00DB4289"/>
    <w:rsid w:val="00DB49E0"/>
    <w:rsid w:val="00DB6F8C"/>
    <w:rsid w:val="00DB7052"/>
    <w:rsid w:val="00DB76FC"/>
    <w:rsid w:val="00DB7CE0"/>
    <w:rsid w:val="00DC16A3"/>
    <w:rsid w:val="00DC1A5C"/>
    <w:rsid w:val="00DC2794"/>
    <w:rsid w:val="00DC361E"/>
    <w:rsid w:val="00DC4156"/>
    <w:rsid w:val="00DC4215"/>
    <w:rsid w:val="00DC4557"/>
    <w:rsid w:val="00DC455D"/>
    <w:rsid w:val="00DC4572"/>
    <w:rsid w:val="00DC4AA8"/>
    <w:rsid w:val="00DD0035"/>
    <w:rsid w:val="00DD01DD"/>
    <w:rsid w:val="00DD06DB"/>
    <w:rsid w:val="00DD2676"/>
    <w:rsid w:val="00DD3DF0"/>
    <w:rsid w:val="00DD3ECC"/>
    <w:rsid w:val="00DD43B9"/>
    <w:rsid w:val="00DD4BCC"/>
    <w:rsid w:val="00DD5013"/>
    <w:rsid w:val="00DD5397"/>
    <w:rsid w:val="00DD7D46"/>
    <w:rsid w:val="00DE1A91"/>
    <w:rsid w:val="00DE3182"/>
    <w:rsid w:val="00DE34CF"/>
    <w:rsid w:val="00DE3D6A"/>
    <w:rsid w:val="00DE40DC"/>
    <w:rsid w:val="00DE4AF9"/>
    <w:rsid w:val="00DE4C41"/>
    <w:rsid w:val="00DE5002"/>
    <w:rsid w:val="00DE513C"/>
    <w:rsid w:val="00DE628D"/>
    <w:rsid w:val="00DE643F"/>
    <w:rsid w:val="00DE715A"/>
    <w:rsid w:val="00DE77F1"/>
    <w:rsid w:val="00DE78BC"/>
    <w:rsid w:val="00DE7B78"/>
    <w:rsid w:val="00DE7F72"/>
    <w:rsid w:val="00DF11DC"/>
    <w:rsid w:val="00DF2D62"/>
    <w:rsid w:val="00DF2EA0"/>
    <w:rsid w:val="00DF3498"/>
    <w:rsid w:val="00DF460E"/>
    <w:rsid w:val="00DF4DAB"/>
    <w:rsid w:val="00DF4DBE"/>
    <w:rsid w:val="00DF4EF1"/>
    <w:rsid w:val="00DF4F1A"/>
    <w:rsid w:val="00DF5518"/>
    <w:rsid w:val="00DF5894"/>
    <w:rsid w:val="00DF5C62"/>
    <w:rsid w:val="00DF614A"/>
    <w:rsid w:val="00DF6271"/>
    <w:rsid w:val="00DF6BFD"/>
    <w:rsid w:val="00DF7969"/>
    <w:rsid w:val="00DF7FF7"/>
    <w:rsid w:val="00E0021D"/>
    <w:rsid w:val="00E014BA"/>
    <w:rsid w:val="00E0277E"/>
    <w:rsid w:val="00E02C8C"/>
    <w:rsid w:val="00E0329F"/>
    <w:rsid w:val="00E04430"/>
    <w:rsid w:val="00E05EEF"/>
    <w:rsid w:val="00E068C8"/>
    <w:rsid w:val="00E07818"/>
    <w:rsid w:val="00E07C47"/>
    <w:rsid w:val="00E10B93"/>
    <w:rsid w:val="00E10C02"/>
    <w:rsid w:val="00E11C95"/>
    <w:rsid w:val="00E12599"/>
    <w:rsid w:val="00E13F3D"/>
    <w:rsid w:val="00E13F52"/>
    <w:rsid w:val="00E1471C"/>
    <w:rsid w:val="00E155C2"/>
    <w:rsid w:val="00E16C50"/>
    <w:rsid w:val="00E17885"/>
    <w:rsid w:val="00E20AD7"/>
    <w:rsid w:val="00E20B30"/>
    <w:rsid w:val="00E21BFE"/>
    <w:rsid w:val="00E239B0"/>
    <w:rsid w:val="00E23BD3"/>
    <w:rsid w:val="00E23E23"/>
    <w:rsid w:val="00E248A3"/>
    <w:rsid w:val="00E24987"/>
    <w:rsid w:val="00E24AF8"/>
    <w:rsid w:val="00E25875"/>
    <w:rsid w:val="00E25A98"/>
    <w:rsid w:val="00E306C7"/>
    <w:rsid w:val="00E30927"/>
    <w:rsid w:val="00E34122"/>
    <w:rsid w:val="00E346B7"/>
    <w:rsid w:val="00E34898"/>
    <w:rsid w:val="00E34D83"/>
    <w:rsid w:val="00E36402"/>
    <w:rsid w:val="00E364DC"/>
    <w:rsid w:val="00E3703E"/>
    <w:rsid w:val="00E37249"/>
    <w:rsid w:val="00E37600"/>
    <w:rsid w:val="00E37B0B"/>
    <w:rsid w:val="00E37D1F"/>
    <w:rsid w:val="00E402A1"/>
    <w:rsid w:val="00E411F9"/>
    <w:rsid w:val="00E4145C"/>
    <w:rsid w:val="00E41B18"/>
    <w:rsid w:val="00E422CE"/>
    <w:rsid w:val="00E42B9B"/>
    <w:rsid w:val="00E42F3C"/>
    <w:rsid w:val="00E43E01"/>
    <w:rsid w:val="00E44301"/>
    <w:rsid w:val="00E44DE2"/>
    <w:rsid w:val="00E44DE5"/>
    <w:rsid w:val="00E4673E"/>
    <w:rsid w:val="00E4747D"/>
    <w:rsid w:val="00E47732"/>
    <w:rsid w:val="00E50C16"/>
    <w:rsid w:val="00E52410"/>
    <w:rsid w:val="00E52986"/>
    <w:rsid w:val="00E5308D"/>
    <w:rsid w:val="00E536FD"/>
    <w:rsid w:val="00E556A2"/>
    <w:rsid w:val="00E57543"/>
    <w:rsid w:val="00E6024A"/>
    <w:rsid w:val="00E604C3"/>
    <w:rsid w:val="00E6146E"/>
    <w:rsid w:val="00E6159E"/>
    <w:rsid w:val="00E61AC6"/>
    <w:rsid w:val="00E62610"/>
    <w:rsid w:val="00E62AE4"/>
    <w:rsid w:val="00E661DE"/>
    <w:rsid w:val="00E6629E"/>
    <w:rsid w:val="00E6780A"/>
    <w:rsid w:val="00E67AFD"/>
    <w:rsid w:val="00E70731"/>
    <w:rsid w:val="00E7128D"/>
    <w:rsid w:val="00E72686"/>
    <w:rsid w:val="00E72940"/>
    <w:rsid w:val="00E72958"/>
    <w:rsid w:val="00E72EDD"/>
    <w:rsid w:val="00E731DA"/>
    <w:rsid w:val="00E74B05"/>
    <w:rsid w:val="00E74E66"/>
    <w:rsid w:val="00E75650"/>
    <w:rsid w:val="00E75D15"/>
    <w:rsid w:val="00E766F7"/>
    <w:rsid w:val="00E7678C"/>
    <w:rsid w:val="00E7701F"/>
    <w:rsid w:val="00E80982"/>
    <w:rsid w:val="00E80C52"/>
    <w:rsid w:val="00E81D40"/>
    <w:rsid w:val="00E82205"/>
    <w:rsid w:val="00E825B3"/>
    <w:rsid w:val="00E831C4"/>
    <w:rsid w:val="00E83442"/>
    <w:rsid w:val="00E83649"/>
    <w:rsid w:val="00E902D6"/>
    <w:rsid w:val="00E9041E"/>
    <w:rsid w:val="00E904BA"/>
    <w:rsid w:val="00E915A3"/>
    <w:rsid w:val="00E91AC1"/>
    <w:rsid w:val="00E92EFD"/>
    <w:rsid w:val="00E92F24"/>
    <w:rsid w:val="00E93321"/>
    <w:rsid w:val="00E93D9C"/>
    <w:rsid w:val="00E93E7B"/>
    <w:rsid w:val="00E96277"/>
    <w:rsid w:val="00E964C1"/>
    <w:rsid w:val="00E966FA"/>
    <w:rsid w:val="00E96739"/>
    <w:rsid w:val="00E96F5C"/>
    <w:rsid w:val="00E97B5E"/>
    <w:rsid w:val="00EA0174"/>
    <w:rsid w:val="00EA0242"/>
    <w:rsid w:val="00EA0416"/>
    <w:rsid w:val="00EA14CB"/>
    <w:rsid w:val="00EA1898"/>
    <w:rsid w:val="00EA2410"/>
    <w:rsid w:val="00EA2F5C"/>
    <w:rsid w:val="00EA356F"/>
    <w:rsid w:val="00EA3AD5"/>
    <w:rsid w:val="00EA4941"/>
    <w:rsid w:val="00EB0511"/>
    <w:rsid w:val="00EB09B7"/>
    <w:rsid w:val="00EB0F05"/>
    <w:rsid w:val="00EB0FC6"/>
    <w:rsid w:val="00EB1420"/>
    <w:rsid w:val="00EB2B47"/>
    <w:rsid w:val="00EB2BBE"/>
    <w:rsid w:val="00EB301F"/>
    <w:rsid w:val="00EB39B2"/>
    <w:rsid w:val="00EB48B1"/>
    <w:rsid w:val="00EB5719"/>
    <w:rsid w:val="00EB5F69"/>
    <w:rsid w:val="00EB6C50"/>
    <w:rsid w:val="00EB6F80"/>
    <w:rsid w:val="00EB7C23"/>
    <w:rsid w:val="00EB7DDF"/>
    <w:rsid w:val="00EC05FF"/>
    <w:rsid w:val="00EC0BC6"/>
    <w:rsid w:val="00EC193D"/>
    <w:rsid w:val="00EC224A"/>
    <w:rsid w:val="00EC226E"/>
    <w:rsid w:val="00EC308C"/>
    <w:rsid w:val="00EC4321"/>
    <w:rsid w:val="00EC4B69"/>
    <w:rsid w:val="00EC50B3"/>
    <w:rsid w:val="00EC60F5"/>
    <w:rsid w:val="00EC6357"/>
    <w:rsid w:val="00EC6413"/>
    <w:rsid w:val="00EC66E4"/>
    <w:rsid w:val="00EC67F3"/>
    <w:rsid w:val="00EC6DE4"/>
    <w:rsid w:val="00EC7332"/>
    <w:rsid w:val="00EC759F"/>
    <w:rsid w:val="00EC7937"/>
    <w:rsid w:val="00EC7CBA"/>
    <w:rsid w:val="00ED025E"/>
    <w:rsid w:val="00ED2A09"/>
    <w:rsid w:val="00ED3C2B"/>
    <w:rsid w:val="00ED594C"/>
    <w:rsid w:val="00ED5967"/>
    <w:rsid w:val="00ED59A8"/>
    <w:rsid w:val="00ED649F"/>
    <w:rsid w:val="00ED7559"/>
    <w:rsid w:val="00ED7A14"/>
    <w:rsid w:val="00ED7E26"/>
    <w:rsid w:val="00ED7F1E"/>
    <w:rsid w:val="00EE0BAB"/>
    <w:rsid w:val="00EE0C14"/>
    <w:rsid w:val="00EE194E"/>
    <w:rsid w:val="00EE27B1"/>
    <w:rsid w:val="00EE2EB6"/>
    <w:rsid w:val="00EE572E"/>
    <w:rsid w:val="00EE7B98"/>
    <w:rsid w:val="00EE7D7C"/>
    <w:rsid w:val="00EF0818"/>
    <w:rsid w:val="00EF1E43"/>
    <w:rsid w:val="00EF23BA"/>
    <w:rsid w:val="00EF2AF8"/>
    <w:rsid w:val="00EF3E37"/>
    <w:rsid w:val="00EF4A67"/>
    <w:rsid w:val="00EF54DD"/>
    <w:rsid w:val="00EF5D1E"/>
    <w:rsid w:val="00EF628B"/>
    <w:rsid w:val="00EF7A15"/>
    <w:rsid w:val="00F02913"/>
    <w:rsid w:val="00F03040"/>
    <w:rsid w:val="00F05ACE"/>
    <w:rsid w:val="00F05CE5"/>
    <w:rsid w:val="00F077FD"/>
    <w:rsid w:val="00F07884"/>
    <w:rsid w:val="00F1004C"/>
    <w:rsid w:val="00F105E9"/>
    <w:rsid w:val="00F1189C"/>
    <w:rsid w:val="00F1215E"/>
    <w:rsid w:val="00F13780"/>
    <w:rsid w:val="00F1405F"/>
    <w:rsid w:val="00F1429A"/>
    <w:rsid w:val="00F148ED"/>
    <w:rsid w:val="00F14A21"/>
    <w:rsid w:val="00F1596D"/>
    <w:rsid w:val="00F15A21"/>
    <w:rsid w:val="00F16636"/>
    <w:rsid w:val="00F17550"/>
    <w:rsid w:val="00F17B18"/>
    <w:rsid w:val="00F20290"/>
    <w:rsid w:val="00F2040A"/>
    <w:rsid w:val="00F209FC"/>
    <w:rsid w:val="00F214FF"/>
    <w:rsid w:val="00F2289C"/>
    <w:rsid w:val="00F230A3"/>
    <w:rsid w:val="00F24EBF"/>
    <w:rsid w:val="00F251C5"/>
    <w:rsid w:val="00F25D98"/>
    <w:rsid w:val="00F270C9"/>
    <w:rsid w:val="00F27FCC"/>
    <w:rsid w:val="00F300FB"/>
    <w:rsid w:val="00F3107A"/>
    <w:rsid w:val="00F319D0"/>
    <w:rsid w:val="00F31F67"/>
    <w:rsid w:val="00F32053"/>
    <w:rsid w:val="00F327DF"/>
    <w:rsid w:val="00F328C1"/>
    <w:rsid w:val="00F333CC"/>
    <w:rsid w:val="00F33EF9"/>
    <w:rsid w:val="00F35021"/>
    <w:rsid w:val="00F35A96"/>
    <w:rsid w:val="00F36A24"/>
    <w:rsid w:val="00F36B69"/>
    <w:rsid w:val="00F376BE"/>
    <w:rsid w:val="00F377D5"/>
    <w:rsid w:val="00F40189"/>
    <w:rsid w:val="00F40DE6"/>
    <w:rsid w:val="00F41907"/>
    <w:rsid w:val="00F424F8"/>
    <w:rsid w:val="00F42905"/>
    <w:rsid w:val="00F42D05"/>
    <w:rsid w:val="00F433FB"/>
    <w:rsid w:val="00F43B54"/>
    <w:rsid w:val="00F45F7E"/>
    <w:rsid w:val="00F467E5"/>
    <w:rsid w:val="00F46DBF"/>
    <w:rsid w:val="00F47726"/>
    <w:rsid w:val="00F477A5"/>
    <w:rsid w:val="00F479EF"/>
    <w:rsid w:val="00F500A7"/>
    <w:rsid w:val="00F50394"/>
    <w:rsid w:val="00F506C5"/>
    <w:rsid w:val="00F5086D"/>
    <w:rsid w:val="00F516EC"/>
    <w:rsid w:val="00F539D1"/>
    <w:rsid w:val="00F53AE8"/>
    <w:rsid w:val="00F53DE2"/>
    <w:rsid w:val="00F53F5A"/>
    <w:rsid w:val="00F5446A"/>
    <w:rsid w:val="00F54FBE"/>
    <w:rsid w:val="00F55018"/>
    <w:rsid w:val="00F555D9"/>
    <w:rsid w:val="00F55DA1"/>
    <w:rsid w:val="00F55EB3"/>
    <w:rsid w:val="00F56130"/>
    <w:rsid w:val="00F56DC5"/>
    <w:rsid w:val="00F5729A"/>
    <w:rsid w:val="00F57524"/>
    <w:rsid w:val="00F577F6"/>
    <w:rsid w:val="00F57E75"/>
    <w:rsid w:val="00F60099"/>
    <w:rsid w:val="00F62458"/>
    <w:rsid w:val="00F6258E"/>
    <w:rsid w:val="00F627CC"/>
    <w:rsid w:val="00F62B6B"/>
    <w:rsid w:val="00F63003"/>
    <w:rsid w:val="00F635FB"/>
    <w:rsid w:val="00F654AD"/>
    <w:rsid w:val="00F65D6B"/>
    <w:rsid w:val="00F70F34"/>
    <w:rsid w:val="00F710E9"/>
    <w:rsid w:val="00F718C5"/>
    <w:rsid w:val="00F7225C"/>
    <w:rsid w:val="00F72D72"/>
    <w:rsid w:val="00F74907"/>
    <w:rsid w:val="00F749E5"/>
    <w:rsid w:val="00F75F82"/>
    <w:rsid w:val="00F763A7"/>
    <w:rsid w:val="00F77532"/>
    <w:rsid w:val="00F77ED7"/>
    <w:rsid w:val="00F811E4"/>
    <w:rsid w:val="00F8233A"/>
    <w:rsid w:val="00F82DCB"/>
    <w:rsid w:val="00F84320"/>
    <w:rsid w:val="00F84972"/>
    <w:rsid w:val="00F84D25"/>
    <w:rsid w:val="00F85419"/>
    <w:rsid w:val="00F85931"/>
    <w:rsid w:val="00F86A2B"/>
    <w:rsid w:val="00F871B6"/>
    <w:rsid w:val="00F877BE"/>
    <w:rsid w:val="00F9134D"/>
    <w:rsid w:val="00F920ED"/>
    <w:rsid w:val="00F92C8D"/>
    <w:rsid w:val="00F92DE9"/>
    <w:rsid w:val="00F93427"/>
    <w:rsid w:val="00F93591"/>
    <w:rsid w:val="00F94B4E"/>
    <w:rsid w:val="00FA0EDC"/>
    <w:rsid w:val="00FA0F73"/>
    <w:rsid w:val="00FA12FA"/>
    <w:rsid w:val="00FA15B8"/>
    <w:rsid w:val="00FA43AB"/>
    <w:rsid w:val="00FA57E5"/>
    <w:rsid w:val="00FA6432"/>
    <w:rsid w:val="00FB0441"/>
    <w:rsid w:val="00FB0D3A"/>
    <w:rsid w:val="00FB1C36"/>
    <w:rsid w:val="00FB234C"/>
    <w:rsid w:val="00FB3596"/>
    <w:rsid w:val="00FB3888"/>
    <w:rsid w:val="00FB49E5"/>
    <w:rsid w:val="00FB6386"/>
    <w:rsid w:val="00FB6425"/>
    <w:rsid w:val="00FB64CA"/>
    <w:rsid w:val="00FB6B41"/>
    <w:rsid w:val="00FC126F"/>
    <w:rsid w:val="00FC133D"/>
    <w:rsid w:val="00FC14A3"/>
    <w:rsid w:val="00FC26F4"/>
    <w:rsid w:val="00FC2CD4"/>
    <w:rsid w:val="00FC3146"/>
    <w:rsid w:val="00FC3D76"/>
    <w:rsid w:val="00FC3D83"/>
    <w:rsid w:val="00FC3F7D"/>
    <w:rsid w:val="00FC76CF"/>
    <w:rsid w:val="00FC7E28"/>
    <w:rsid w:val="00FD0A39"/>
    <w:rsid w:val="00FD18F2"/>
    <w:rsid w:val="00FD19EF"/>
    <w:rsid w:val="00FD3E12"/>
    <w:rsid w:val="00FD44D4"/>
    <w:rsid w:val="00FD5500"/>
    <w:rsid w:val="00FD61DC"/>
    <w:rsid w:val="00FD77A7"/>
    <w:rsid w:val="00FE07E9"/>
    <w:rsid w:val="00FE10B9"/>
    <w:rsid w:val="00FE1725"/>
    <w:rsid w:val="00FE1944"/>
    <w:rsid w:val="00FE274A"/>
    <w:rsid w:val="00FE274D"/>
    <w:rsid w:val="00FE281C"/>
    <w:rsid w:val="00FE3059"/>
    <w:rsid w:val="00FE3AAC"/>
    <w:rsid w:val="00FE47E8"/>
    <w:rsid w:val="00FE6706"/>
    <w:rsid w:val="00FE68DA"/>
    <w:rsid w:val="00FE763A"/>
    <w:rsid w:val="00FE7E7A"/>
    <w:rsid w:val="00FF0469"/>
    <w:rsid w:val="00FF13AC"/>
    <w:rsid w:val="00FF2BE2"/>
    <w:rsid w:val="00FF36EB"/>
    <w:rsid w:val="00FF3A52"/>
    <w:rsid w:val="00FF54D0"/>
    <w:rsid w:val="00FF553C"/>
    <w:rsid w:val="00FF63B4"/>
    <w:rsid w:val="00FF7134"/>
    <w:rsid w:val="00FF7218"/>
    <w:rsid w:val="00FF7353"/>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A7E3ED"/>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CDA4AD"/>
    <w:rsid w:val="7FDF896D"/>
    <w:rsid w:val="7FE3965B"/>
    <w:rsid w:val="7FFD7E93"/>
    <w:rsid w:val="7FFF3700"/>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EFD1429"/>
    <w:rsid w:val="BFBD6502"/>
    <w:rsid w:val="BFEB5468"/>
    <w:rsid w:val="C67DA37E"/>
    <w:rsid w:val="CBF14633"/>
    <w:rsid w:val="CEF38BE6"/>
    <w:rsid w:val="CF7D8A9F"/>
    <w:rsid w:val="D7FBCDBA"/>
    <w:rsid w:val="D7FE4A21"/>
    <w:rsid w:val="DCFF7BE4"/>
    <w:rsid w:val="DD770ADA"/>
    <w:rsid w:val="DD7FFC86"/>
    <w:rsid w:val="DF1F7E20"/>
    <w:rsid w:val="DF7D91C7"/>
    <w:rsid w:val="DFDE954F"/>
    <w:rsid w:val="DFFD1BE1"/>
    <w:rsid w:val="DFFDA27D"/>
    <w:rsid w:val="E19DD21E"/>
    <w:rsid w:val="E1BF61AA"/>
    <w:rsid w:val="E57325AE"/>
    <w:rsid w:val="E6FC999F"/>
    <w:rsid w:val="E6FD793A"/>
    <w:rsid w:val="E7FFB7A4"/>
    <w:rsid w:val="EBF522DC"/>
    <w:rsid w:val="EBFFAC9E"/>
    <w:rsid w:val="ECEE837E"/>
    <w:rsid w:val="EDDAAF1E"/>
    <w:rsid w:val="EDEA01C7"/>
    <w:rsid w:val="EDFF320B"/>
    <w:rsid w:val="EE7B52AC"/>
    <w:rsid w:val="EE7D452A"/>
    <w:rsid w:val="EEBBBC72"/>
    <w:rsid w:val="EEBF483C"/>
    <w:rsid w:val="EEFFCD27"/>
    <w:rsid w:val="EFBEB6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609EA"/>
    <w:rsid w:val="FBFBF1B4"/>
    <w:rsid w:val="FCDEE311"/>
    <w:rsid w:val="FD4D6359"/>
    <w:rsid w:val="FDBAF64B"/>
    <w:rsid w:val="FDBE6577"/>
    <w:rsid w:val="FDDE772A"/>
    <w:rsid w:val="FDEE92C1"/>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80"/>
    </w:pPr>
    <w:rPr>
      <w:rFonts w:ascii="Times New Roman" w:hAnsi="Times New Roman" w:eastAsia="Times New Roman" w:cs="Times New Roman"/>
      <w:sz w:val="22"/>
      <w:szCs w:val="22"/>
      <w:lang w:val="en-US"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rPr>
      <w:rFonts w:ascii="Tahoma" w:hAnsi="Tahoma" w:cs="Tahoma"/>
      <w:sz w:val="16"/>
      <w:szCs w:val="16"/>
    </w:rPr>
  </w:style>
  <w:style w:type="paragraph" w:styleId="15">
    <w:name w:val="Body Text"/>
    <w:basedOn w:val="1"/>
    <w:link w:val="106"/>
    <w:unhideWhenUsed/>
    <w:uiPriority w:val="0"/>
    <w:pPr>
      <w:spacing w:after="120"/>
    </w:pPr>
  </w:style>
  <w:style w:type="paragraph" w:styleId="16">
    <w:name w:val="Body Text 2"/>
    <w:basedOn w:val="1"/>
    <w:link w:val="153"/>
    <w:uiPriority w:val="0"/>
    <w:pPr>
      <w:spacing w:after="0"/>
      <w:jc w:val="both"/>
    </w:pPr>
    <w:rPr>
      <w:rFonts w:eastAsia="MS Mincho"/>
      <w:sz w:val="24"/>
    </w:rPr>
  </w:style>
  <w:style w:type="paragraph" w:styleId="17">
    <w:name w:val="Body Text 3"/>
    <w:basedOn w:val="1"/>
    <w:link w:val="159"/>
    <w:uiPriority w:val="0"/>
    <w:rPr>
      <w:rFonts w:eastAsia="MS Mincho"/>
      <w:b/>
      <w:i/>
    </w:rPr>
  </w:style>
  <w:style w:type="paragraph" w:styleId="18">
    <w:name w:val="Body Text Indent"/>
    <w:basedOn w:val="1"/>
    <w:link w:val="151"/>
    <w:uiPriority w:val="0"/>
    <w:pPr>
      <w:spacing w:before="240" w:after="0"/>
      <w:ind w:left="360"/>
      <w:jc w:val="both"/>
    </w:pPr>
    <w:rPr>
      <w:rFonts w:eastAsia="MS Mincho"/>
      <w:i/>
    </w:rPr>
  </w:style>
  <w:style w:type="paragraph" w:styleId="19">
    <w:name w:val="Body Text Indent 2"/>
    <w:basedOn w:val="1"/>
    <w:link w:val="157"/>
    <w:uiPriority w:val="0"/>
    <w:pPr>
      <w:ind w:left="568" w:hanging="568"/>
    </w:pPr>
    <w:rPr>
      <w:rFonts w:eastAsia="MS Mincho"/>
    </w:rPr>
  </w:style>
  <w:style w:type="paragraph" w:styleId="20">
    <w:name w:val="caption"/>
    <w:basedOn w:val="1"/>
    <w:next w:val="1"/>
    <w:link w:val="138"/>
    <w:qFormat/>
    <w:uiPriority w:val="99"/>
    <w:pPr>
      <w:spacing w:before="120" w:after="120"/>
    </w:pPr>
    <w:rPr>
      <w:rFonts w:eastAsia="MS Mincho"/>
      <w:b/>
    </w:rPr>
  </w:style>
  <w:style w:type="character" w:styleId="21">
    <w:name w:val="annotation reference"/>
    <w:qFormat/>
    <w:uiPriority w:val="99"/>
    <w:rPr>
      <w:sz w:val="16"/>
    </w:rPr>
  </w:style>
  <w:style w:type="paragraph" w:styleId="22">
    <w:name w:val="annotation text"/>
    <w:basedOn w:val="1"/>
    <w:link w:val="152"/>
    <w:qFormat/>
    <w:uiPriority w:val="99"/>
  </w:style>
  <w:style w:type="paragraph" w:styleId="23">
    <w:name w:val="annotation subject"/>
    <w:basedOn w:val="22"/>
    <w:next w:val="22"/>
    <w:link w:val="165"/>
    <w:uiPriority w:val="0"/>
    <w:rPr>
      <w:b/>
      <w:bCs/>
    </w:rPr>
  </w:style>
  <w:style w:type="paragraph" w:styleId="24">
    <w:name w:val="Date"/>
    <w:basedOn w:val="1"/>
    <w:next w:val="1"/>
    <w:link w:val="250"/>
    <w:uiPriority w:val="0"/>
    <w:pPr>
      <w:overflowPunct w:val="0"/>
      <w:autoSpaceDE w:val="0"/>
      <w:autoSpaceDN w:val="0"/>
      <w:adjustRightInd w:val="0"/>
      <w:textAlignment w:val="baseline"/>
    </w:pPr>
    <w:rPr>
      <w:rFonts w:eastAsia="Malgun Gothic"/>
    </w:rPr>
  </w:style>
  <w:style w:type="paragraph" w:styleId="25">
    <w:name w:val="Document Map"/>
    <w:basedOn w:val="1"/>
    <w:link w:val="130"/>
    <w:uiPriority w:val="0"/>
    <w:pPr>
      <w:shd w:val="clear" w:color="auto" w:fill="000080"/>
    </w:pPr>
    <w:rPr>
      <w:rFonts w:ascii="Tahoma" w:hAnsi="Tahoma" w:cs="Tahoma"/>
    </w:rPr>
  </w:style>
  <w:style w:type="character" w:styleId="26">
    <w:name w:val="endnote reference"/>
    <w:uiPriority w:val="0"/>
    <w:rPr>
      <w:vertAlign w:val="superscript"/>
    </w:rPr>
  </w:style>
  <w:style w:type="paragraph" w:styleId="27">
    <w:name w:val="endnote text"/>
    <w:basedOn w:val="1"/>
    <w:link w:val="245"/>
    <w:uiPriority w:val="0"/>
    <w:pPr>
      <w:snapToGrid w:val="0"/>
    </w:pPr>
    <w:rPr>
      <w:rFonts w:eastAsia="SimSun"/>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spacing w:after="0"/>
      <w:ind w:left="454" w:hanging="454"/>
    </w:pPr>
    <w:rPr>
      <w:sz w:val="16"/>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spacing w:after="0"/>
    </w:p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spacing w:before="360" w:after="240"/>
    </w:pPr>
    <w:rPr>
      <w:rFonts w:eastAsia="MS Mincho"/>
      <w:b/>
      <w:i/>
      <w:sz w:val="26"/>
    </w:rPr>
  </w:style>
  <w:style w:type="paragraph" w:styleId="38">
    <w:name w:val="List"/>
    <w:basedOn w:val="1"/>
    <w:link w:val="132"/>
    <w:uiPriority w:val="0"/>
    <w:pPr>
      <w:ind w:left="568" w:hanging="284"/>
    </w:p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1">
    <w:name w:val="List Number 4"/>
    <w:basedOn w:val="1"/>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2">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3">
    <w:name w:val="Normal (Web)"/>
    <w:basedOn w:val="1"/>
    <w:unhideWhenUsed/>
    <w:uiPriority w:val="99"/>
    <w:pPr>
      <w:spacing w:after="100" w:afterAutospacing="1"/>
    </w:pPr>
    <w:rPr>
      <w:rFonts w:eastAsia="SimSun"/>
      <w:sz w:val="24"/>
      <w:szCs w:val="24"/>
    </w:rPr>
  </w:style>
  <w:style w:type="paragraph" w:styleId="54">
    <w:name w:val="Normal Indent"/>
    <w:basedOn w:val="1"/>
    <w:uiPriority w:val="0"/>
    <w:pPr>
      <w:spacing w:after="0"/>
      <w:ind w:left="851"/>
    </w:pPr>
    <w:rPr>
      <w:rFonts w:eastAsia="MS Mincho"/>
      <w:lang w:val="it-IT" w:eastAsia="en-GB"/>
    </w:rPr>
  </w:style>
  <w:style w:type="character" w:styleId="55">
    <w:name w:val="page number"/>
    <w:basedOn w:val="12"/>
    <w:uiPriority w:val="0"/>
  </w:style>
  <w:style w:type="paragraph" w:styleId="56">
    <w:name w:val="Plain Text"/>
    <w:basedOn w:val="1"/>
    <w:link w:val="142"/>
    <w:uiPriority w:val="99"/>
    <w:pPr>
      <w:spacing w:after="0"/>
    </w:pPr>
    <w:rPr>
      <w:rFonts w:ascii="Courier New" w:hAnsi="Courier New" w:eastAsia="MS Mincho"/>
    </w:rPr>
  </w:style>
  <w:style w:type="character" w:styleId="57">
    <w:name w:val="Strong"/>
    <w:qFormat/>
    <w:uiPriority w:val="0"/>
    <w:rPr>
      <w:b/>
      <w:bCs/>
    </w:rPr>
  </w:style>
  <w:style w:type="paragraph" w:styleId="58">
    <w:name w:val="Subtitle"/>
    <w:basedOn w:val="1"/>
    <w:next w:val="1"/>
    <w:link w:val="342"/>
    <w:qFormat/>
    <w:uiPriority w:val="11"/>
    <w:pPr>
      <w:spacing w:after="160"/>
    </w:pPr>
    <w:rPr>
      <w:rFonts w:ascii="Calibri Light" w:hAnsi="Calibri Light"/>
      <w:b/>
      <w:bCs/>
      <w:kern w:val="28"/>
      <w:sz w:val="32"/>
      <w:szCs w:val="32"/>
      <w:lang w:val="fr-FR" w:eastAsia="fr-FR"/>
    </w:rPr>
  </w:style>
  <w:style w:type="table" w:styleId="59">
    <w:name w:val="Table Grid"/>
    <w:basedOn w:val="13"/>
    <w:qFormat/>
    <w:uiPriority w:val="9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spacing w:after="0"/>
    </w:pPr>
    <w:rPr>
      <w:rFonts w:ascii="Arial" w:hAnsi="Arial"/>
      <w:sz w:val="18"/>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spacing w:before="60"/>
      <w:jc w:val="center"/>
    </w:pPr>
    <w:rPr>
      <w:rFonts w:ascii="Arial" w:hAnsi="Arial"/>
      <w:b/>
    </w:rPr>
  </w:style>
  <w:style w:type="paragraph" w:customStyle="1" w:styleId="78">
    <w:name w:val="NO"/>
    <w:basedOn w:val="1"/>
    <w:link w:val="124"/>
    <w:qFormat/>
    <w:uiPriority w:val="0"/>
    <w:pPr>
      <w:keepLines/>
      <w:ind w:left="1135" w:hanging="851"/>
    </w:pPr>
  </w:style>
  <w:style w:type="paragraph" w:customStyle="1" w:styleId="79">
    <w:name w:val="EX"/>
    <w:basedOn w:val="1"/>
    <w:link w:val="125"/>
    <w:qFormat/>
    <w:uiPriority w:val="0"/>
    <w:pPr>
      <w:keepLines/>
      <w:ind w:left="1702" w:hanging="1418"/>
    </w:pPr>
  </w:style>
  <w:style w:type="paragraph" w:customStyle="1" w:styleId="80">
    <w:name w:val="FP"/>
    <w:basedOn w:val="1"/>
    <w:uiPriority w:val="0"/>
    <w:pPr>
      <w:spacing w:after="0"/>
    </w:p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p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rPr>
      <w:rFonts w:eastAsia="SimSun"/>
      <w:i/>
      <w:color w:val="0000FF"/>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spacing w:after="0"/>
    </w:pPr>
    <w:rPr>
      <w:rFonts w:eastAsia="MS Mincho"/>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spacing w:after="0"/>
    </w:pPr>
    <w:rPr>
      <w:rFonts w:eastAsia="MS Mincho"/>
      <w:i/>
    </w:rPr>
  </w:style>
  <w:style w:type="paragraph" w:customStyle="1" w:styleId="140">
    <w:name w:val="table"/>
    <w:basedOn w:val="1"/>
    <w:next w:val="1"/>
    <w:uiPriority w:val="0"/>
    <w:pPr>
      <w:spacing w:after="0"/>
      <w:jc w:val="center"/>
    </w:pPr>
    <w:rPr>
      <w:rFonts w:eastAsia="MS Mincho"/>
    </w:rPr>
  </w:style>
  <w:style w:type="paragraph" w:customStyle="1" w:styleId="141">
    <w:name w:val="HE"/>
    <w:basedOn w:val="1"/>
    <w:uiPriority w:val="0"/>
    <w:pPr>
      <w:spacing w:after="0"/>
    </w:pPr>
    <w:rPr>
      <w:rFonts w:eastAsia="MS Mincho"/>
      <w: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spacing w:after="240"/>
      <w:jc w:val="both"/>
    </w:pPr>
    <w:rPr>
      <w:rFonts w:eastAsia="MS Mincho"/>
      <w:sz w:val="24"/>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spacing w:before="60" w:after="60"/>
      <w:ind w:left="360" w:hanging="360"/>
      <w:jc w:val="both"/>
    </w:pPr>
    <w:rPr>
      <w:rFonts w:eastAsia="MS Mincho"/>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spacing w:after="240"/>
      <w:jc w:val="both"/>
    </w:pPr>
    <w:rPr>
      <w:rFonts w:ascii="Helvetica" w:hAnsi="Helvetica" w:eastAsia="MS Mincho"/>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pPr>
    <w:rPr>
      <w:rFonts w:eastAsia="MS Mincho"/>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spacing w:before="120" w:after="0" w:line="280" w:lineRule="atLeast"/>
      <w:ind w:left="360" w:hanging="360"/>
      <w:jc w:val="both"/>
    </w:pPr>
    <w:rPr>
      <w:rFonts w:ascii="Bookman" w:hAnsi="Bookman" w:eastAsia="MS Mincho"/>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spacing w:before="120" w:after="0"/>
      <w:jc w:val="both"/>
    </w:pPr>
    <w:rPr>
      <w:rFonts w:eastAsia="MS Mincho"/>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spacing w:before="120" w:after="0" w:line="280" w:lineRule="atLeast"/>
      <w:jc w:val="center"/>
    </w:pPr>
    <w:rPr>
      <w:rFonts w:ascii="Bookman" w:hAnsi="Bookman" w:eastAsia="MS Mincho"/>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spacing w:after="80"/>
    </w:pPr>
    <w:rPr>
      <w:rFonts w:eastAsia="MS Mincho"/>
      <w:sz w:val="18"/>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spacing w:before="340" w:after="240"/>
      <w:contextualSpacing/>
    </w:pPr>
    <w:rPr>
      <w:rFonts w:eastAsia="SimSun"/>
      <w:szCs w:val="24"/>
    </w:rPr>
  </w:style>
  <w:style w:type="character" w:customStyle="1" w:styleId="173">
    <w:name w:val="List Paragraph Char"/>
    <w:link w:val="172"/>
    <w:qFormat/>
    <w:uiPriority w:val="34"/>
    <w:rPr>
      <w:rFonts w:ascii="Times New Roman" w:hAnsi="Times New Roman" w:cs="Times New Roman"/>
      <w:sz w:val="22"/>
      <w:szCs w:val="24"/>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overflowPunct w:val="0"/>
      <w:autoSpaceDE w:val="0"/>
      <w:autoSpaceDN w:val="0"/>
      <w:adjustRightInd w:val="0"/>
      <w:spacing w:before="120" w:after="120"/>
      <w:ind w:left="720"/>
      <w:textAlignment w:val="baseline"/>
    </w:pPr>
    <w:rPr>
      <w:rFonts w:eastAsia="SimSun"/>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spacing w:after="100" w:afterAutospacing="1"/>
    </w:pPr>
    <w:rPr>
      <w:rFonts w:eastAsia="SimSun"/>
      <w:sz w:val="24"/>
      <w:szCs w:val="24"/>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spacing w:before="240" w:after="160" w:line="240" w:lineRule="exact"/>
    </w:pPr>
    <w:rPr>
      <w:rFonts w:ascii="Verdana" w:hAnsi="Verdana" w:eastAsia="Batang"/>
      <w:sz w:val="24"/>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overflowPunct w:val="0"/>
      <w:autoSpaceDE w:val="0"/>
      <w:autoSpaceDN w:val="0"/>
      <w:adjustRightInd w:val="0"/>
      <w:ind w:left="851"/>
      <w:textAlignment w:val="baseline"/>
    </w:pPr>
    <w:rPr>
      <w:lang w:eastAsia="ja-JP"/>
    </w:rPr>
  </w:style>
  <w:style w:type="paragraph" w:customStyle="1" w:styleId="263">
    <w:name w:val="INDENT2"/>
    <w:basedOn w:val="1"/>
    <w:uiPriority w:val="0"/>
    <w:pPr>
      <w:overflowPunct w:val="0"/>
      <w:autoSpaceDE w:val="0"/>
      <w:autoSpaceDN w:val="0"/>
      <w:adjustRightInd w:val="0"/>
      <w:ind w:left="1135" w:hanging="284"/>
      <w:textAlignment w:val="baseline"/>
    </w:pPr>
    <w:rPr>
      <w:lang w:eastAsia="ja-JP"/>
    </w:rPr>
  </w:style>
  <w:style w:type="paragraph" w:customStyle="1" w:styleId="264">
    <w:name w:val="INDENT3"/>
    <w:basedOn w:val="1"/>
    <w:uiPriority w:val="0"/>
    <w:pPr>
      <w:overflowPunct w:val="0"/>
      <w:autoSpaceDE w:val="0"/>
      <w:autoSpaceDN w:val="0"/>
      <w:adjustRightInd w:val="0"/>
      <w:ind w:left="1701" w:hanging="567"/>
      <w:textAlignment w:val="baseline"/>
    </w:pPr>
    <w:rPr>
      <w:lang w:eastAsia="ja-JP"/>
    </w:rPr>
  </w:style>
  <w:style w:type="paragraph" w:customStyle="1" w:styleId="26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6">
    <w:name w:val="Rec_CCITT_#"/>
    <w:basedOn w:val="1"/>
    <w:uiPriority w:val="0"/>
    <w:pPr>
      <w:keepNext/>
      <w:keepLines/>
      <w:overflowPunct w:val="0"/>
      <w:autoSpaceDE w:val="0"/>
      <w:autoSpaceDN w:val="0"/>
      <w:adjustRightInd w:val="0"/>
      <w:textAlignment w:val="baseline"/>
    </w:pPr>
    <w:rPr>
      <w:b/>
      <w:lang w:eastAsia="ja-JP"/>
    </w:rPr>
  </w:style>
  <w:style w:type="paragraph" w:customStyle="1" w:styleId="267">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268">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269">
    <w:name w:val="Figure"/>
    <w:basedOn w:val="1"/>
    <w:uiPriority w:val="0"/>
    <w:pPr>
      <w:tabs>
        <w:tab w:val="left" w:pos="1440"/>
      </w:tabs>
      <w:spacing w:before="180" w:after="240" w:line="280" w:lineRule="atLeast"/>
      <w:ind w:left="720" w:hanging="360"/>
      <w:jc w:val="center"/>
    </w:pPr>
    <w:rPr>
      <w:rFonts w:ascii="Arial" w:hAnsi="Arial"/>
      <w:b/>
      <w:lang w:eastAsia="ja-JP"/>
    </w:rPr>
  </w:style>
  <w:style w:type="table" w:customStyle="1" w:styleId="270">
    <w:name w:val="Table Grid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uiPriority w:val="0"/>
    <w:pPr>
      <w:snapToGrid w:val="0"/>
      <w:spacing w:after="0"/>
      <w:textAlignment w:val="baseline"/>
    </w:pPr>
    <w:rPr>
      <w:rFonts w:ascii="Arial" w:hAnsi="Arial" w:eastAsia="SimSun" w:cs="Arial"/>
      <w:sz w:val="18"/>
      <w:szCs w:val="18"/>
      <w:lang w:eastAsia="zh-CN"/>
    </w:rPr>
  </w:style>
  <w:style w:type="paragraph" w:customStyle="1" w:styleId="273">
    <w:name w:val="ATC"/>
    <w:basedOn w:val="1"/>
    <w:uiPriority w:val="0"/>
    <w:pPr>
      <w:overflowPunct w:val="0"/>
      <w:autoSpaceDE w:val="0"/>
      <w:autoSpaceDN w:val="0"/>
      <w:adjustRightInd w:val="0"/>
      <w:textAlignment w:val="baseline"/>
    </w:pPr>
    <w:rPr>
      <w:lang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spacing w:after="100" w:afterAutospacing="1"/>
      <w:jc w:val="center"/>
    </w:pPr>
    <w:rPr>
      <w:rFonts w:ascii="Arial" w:hAnsi="Arial" w:cs="Arial"/>
      <w:b/>
      <w:bCs/>
      <w:color w:val="000000"/>
      <w:sz w:val="16"/>
      <w:szCs w:val="16"/>
      <w:lang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ind w:left="928" w:hanging="360"/>
    </w:pPr>
    <w:rPr>
      <w:rFonts w:eastAsia="Batang"/>
      <w:lang w:eastAsia="ko-KR"/>
    </w:rPr>
  </w:style>
  <w:style w:type="table" w:customStyle="1" w:styleId="289">
    <w:name w:val="Table Grid2"/>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rPr>
      <w:rFonts w:ascii="Tahoma" w:hAnsi="Tahoma" w:eastAsia="MS Mincho" w:cs="Tahoma"/>
      <w:sz w:val="16"/>
      <w:szCs w:val="16"/>
      <w:lang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rPr>
  </w:style>
  <w:style w:type="paragraph" w:customStyle="1" w:styleId="295">
    <w:name w:val="b1"/>
    <w:basedOn w:val="1"/>
    <w:uiPriority w:val="0"/>
    <w:pPr>
      <w:spacing w:after="100" w:afterAutospacing="1"/>
    </w:pPr>
    <w:rPr>
      <w:sz w:val="24"/>
      <w:szCs w:val="24"/>
      <w:lang w:eastAsia="ko-KR"/>
    </w:rPr>
  </w:style>
  <w:style w:type="paragraph" w:customStyle="1" w:styleId="296">
    <w:name w:val="吹き出し1"/>
    <w:basedOn w:val="1"/>
    <w:semiHidden/>
    <w:uiPriority w:val="0"/>
    <w:rPr>
      <w:rFonts w:ascii="Tahoma" w:hAnsi="Tahoma" w:eastAsia="MS Mincho" w:cs="Tahoma"/>
      <w:sz w:val="16"/>
      <w:szCs w:val="16"/>
      <w:lang w:eastAsia="ko-KR"/>
    </w:rPr>
  </w:style>
  <w:style w:type="paragraph" w:customStyle="1" w:styleId="297">
    <w:name w:val="吹き出し2"/>
    <w:basedOn w:val="1"/>
    <w:semiHidden/>
    <w:uiPriority w:val="0"/>
    <w:rPr>
      <w:rFonts w:ascii="Tahoma" w:hAnsi="Tahoma" w:eastAsia="MS Mincho" w:cs="Tahoma"/>
      <w:sz w:val="16"/>
      <w:szCs w:val="16"/>
      <w:lang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overflowPunct w:val="0"/>
      <w:autoSpaceDE w:val="0"/>
      <w:autoSpaceDN w:val="0"/>
      <w:adjustRightInd w:val="0"/>
      <w:spacing w:before="120" w:after="120"/>
      <w:textAlignment w:val="baseline"/>
    </w:pPr>
    <w:rPr>
      <w:rFonts w:eastAsia="MS Mincho"/>
      <w:lang w:eastAsia="en-GB"/>
    </w:rPr>
  </w:style>
  <w:style w:type="paragraph" w:customStyle="1" w:styleId="308">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uiPriority w:val="0"/>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313">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overflowPunct w:val="0"/>
      <w:autoSpaceDE w:val="0"/>
      <w:autoSpaceDN w:val="0"/>
      <w:adjustRightInd w:val="0"/>
      <w:spacing w:after="220"/>
      <w:textAlignment w:val="baseline"/>
    </w:pPr>
    <w:rPr>
      <w:rFonts w:eastAsia="MS Mincho"/>
      <w:b/>
      <w:lang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spacing w:after="220"/>
      <w:ind w:left="1298"/>
    </w:pPr>
    <w:rPr>
      <w:rFonts w:ascii="Arial" w:hAnsi="Arial" w:eastAsia="SimSun"/>
      <w:lang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spacing w:beforeLines="20" w:afterLines="10"/>
      <w:ind w:right="284"/>
      <w:jc w:val="both"/>
      <w:outlineLvl w:val="0"/>
    </w:pPr>
    <w:rPr>
      <w:rFonts w:ascii="Arial" w:hAnsi="Arial" w:eastAsia="SimSun" w:cs="SimSun"/>
      <w:b/>
      <w:bCs/>
      <w:sz w:val="28"/>
      <w:lang w:eastAsia="zh-CN"/>
    </w:rPr>
  </w:style>
  <w:style w:type="table" w:customStyle="1" w:styleId="323">
    <w:name w:val="网格型3"/>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SimSun"/>
      <w:snapToGrid w:val="0"/>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overflowPunct w:val="0"/>
      <w:autoSpaceDE w:val="0"/>
      <w:autoSpaceDN w:val="0"/>
      <w:adjustRightInd w:val="0"/>
      <w:spacing w:before="60" w:after="60"/>
      <w:jc w:val="both"/>
      <w:textAlignment w:val="baseline"/>
    </w:pPr>
    <w:rPr>
      <w:rFonts w:eastAsia="SimSun"/>
      <w:lang w:eastAsia="zh-CN"/>
    </w:rPr>
  </w:style>
  <w:style w:type="character" w:customStyle="1" w:styleId="376">
    <w:name w:val="3GPP Agreements Char"/>
    <w:link w:val="375"/>
    <w:qFormat/>
    <w:uiPriority w:val="0"/>
    <w:rPr>
      <w:rFonts w:ascii="Times New Roman" w:hAnsi="Times New Roman" w:eastAsia="SimSun"/>
      <w:sz w:val="22"/>
      <w:lang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spacing w:after="220" w:line="256" w:lineRule="auto"/>
    </w:pPr>
    <w:rPr>
      <w:rFonts w:ascii="Arial" w:hAnsi="Arial" w:eastAsiaTheme="minorEastAsia" w:cstheme="minorBidi"/>
    </w:rPr>
  </w:style>
  <w:style w:type="paragraph" w:customStyle="1" w:styleId="382">
    <w:name w:val="Revision2"/>
    <w:hidden/>
    <w:unhideWhenUsed/>
    <w:uiPriority w:val="99"/>
    <w:rPr>
      <w:rFonts w:ascii="Times New Roman" w:hAnsi="Times New Roman" w:eastAsia="Times New Roman" w:cs="Times New Roman"/>
      <w:sz w:val="22"/>
      <w:lang w:val="en-GB" w:eastAsia="en-US" w:bidi="ar-SA"/>
    </w:rPr>
  </w:style>
  <w:style w:type="character" w:customStyle="1" w:styleId="383">
    <w:name w:val="Unresolved Mention2"/>
    <w:basedOn w:val="12"/>
    <w:unhideWhenUsed/>
    <w:uiPriority w:val="99"/>
    <w:rPr>
      <w:color w:val="605E5C"/>
      <w:shd w:val="clear" w:color="auto" w:fill="E1DFDD"/>
    </w:rPr>
  </w:style>
  <w:style w:type="character" w:customStyle="1" w:styleId="384">
    <w:name w:val="Mention2"/>
    <w:basedOn w:val="12"/>
    <w:unhideWhenUsed/>
    <w:uiPriority w:val="99"/>
    <w:rPr>
      <w:color w:val="2B579A"/>
      <w:shd w:val="clear" w:color="auto" w:fill="E1DFDD"/>
    </w:rPr>
  </w:style>
  <w:style w:type="paragraph" w:customStyle="1" w:styleId="385">
    <w:name w:val="Revision3"/>
    <w:hidden/>
    <w:unhideWhenUsed/>
    <w:uiPriority w:val="99"/>
    <w:rPr>
      <w:rFonts w:ascii="Times New Roman" w:hAnsi="Times New Roman" w:eastAsia="Times New Roman" w:cs="Times New Roman"/>
      <w:sz w:val="22"/>
      <w:lang w:val="en-GB" w:eastAsia="en-US" w:bidi="ar-SA"/>
    </w:rPr>
  </w:style>
  <w:style w:type="paragraph" w:customStyle="1" w:styleId="386">
    <w:name w:val="Revision4"/>
    <w:hidden/>
    <w:unhideWhenUsed/>
    <w:uiPriority w:val="99"/>
    <w:rPr>
      <w:rFonts w:ascii="Times New Roman" w:hAnsi="Times New Roman" w:eastAsia="Times New Roman" w:cs="Times New Roman"/>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Name="Document" ma:contentTypeDescription="Create a new document." ma:_="" ma:contentTypeVersion="22" ma:contentTypeID="0x010100F3E9551B3FDDA24EBF0A209BAAD637CA" ma:contentTypeScope="" ma:versionID="43fd9aa8ce6bfcf943b9ec0865a326c5" ct:_="">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3:_="" ma:fieldsID="c2f5d01f1542ad6d6e0ac8608ac7d8f0" targetNamespace="http://schemas.microsoft.com/office/2006/metadata/properties" ns2:_="" ns4:_="" ma:root="true"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hidden="true" ma:index="21" ma:displayName="Unified Compliance Policy Properties" name="_ip_UnifiedCompliancePolicyProperties" nillable="true" ma:internalName="_ip_UnifiedCompliancePolicyProperties">
      <xsd:simpleType>
        <xsd:restriction base="dms:Note"/>
      </xsd:simpleType>
    </xsd:element>
    <xsd:element ma:hidden="true" ma:index="22" ma:displayName="Unified Compliance Policy UI Action" name="_ip_UnifiedCompliancePolicyUIAction" nillable="true" ma:internalName="_ip_UnifiedCompliancePolicyUIAction">
      <xsd:simpleType>
        <xsd:restriction base="dms:Text"/>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2f282d3b-eb4a-4b09-b61f-b9593442e286">
    <xsd:import namespace="http://schemas.microsoft.com/office/2006/documentManagement/types"/>
    <xsd:import namespace="http://schemas.microsoft.com/office/infopath/2007/PartnerControls"/>
    <xsd:element ma:hidden="true" ma:readOnly="true" ma:index="8" ma:displayName="MediaServiceMetadata" name="MediaServiceMetadata" nillable="true" ma:internalName="MediaServiceMetadata">
      <xsd:simpleType>
        <xsd:restriction base="dms:Note"/>
      </xsd:simpleType>
    </xsd:element>
    <xsd:element ma:hidden="true" ma:readOnly="true" ma:index="9" ma:displayName="MediaServiceFastMetadata" name="MediaServiceFastMetadata" nillable="true" ma:internalName="MediaServiceFastMetadata">
      <xsd:simpleType>
        <xsd:restriction base="dms:Note"/>
      </xsd:simpleType>
    </xsd:element>
    <xsd:element ma:hidden="true" ma:readOnly="true" ma:index="12" ma:displayName="MediaServiceDateTaken" name="MediaServiceDateTaken" nillable="true" ma:internalName="MediaServiceDateTaken">
      <xsd:simpleType>
        <xsd:restriction base="dms:Text"/>
      </xsd:simpleType>
    </xsd:element>
    <xsd:element ma:readOnly="true" ma:index="13" ma:displayName="Tags" name="MediaServiceAutoTags" nillable="true" ma:internalName="MediaServiceAutoTags">
      <xsd:simpleType>
        <xsd:restriction base="dms:Text"/>
      </xsd:simpleType>
    </xsd:element>
    <xsd:element ma:readOnly="true" ma:index="14" ma:displayName="Location" name="MediaServiceLocation" nillable="true" ma:internalName="MediaServiceLocation">
      <xsd:simpleType>
        <xsd:restriction base="dms:Text"/>
      </xsd:simpleType>
    </xsd:element>
    <xsd:element ma:readOnly="true" ma:index="15" ma:displayName="Extracted Text" name="MediaServiceOCR" nillable="true" ma:internalName="MediaServiceOCR">
      <xsd:simpleType>
        <xsd:restriction base="dms:Note">
          <xsd:maxLength value="255"/>
        </xsd:restriction>
      </xsd:simpleType>
    </xsd:element>
    <xsd:element ma:hidden="true" ma:readOnly="true" ma:index="16" ma:displayName="MediaServiceGenerationTime" name="MediaServiceGenerationTime" nillable="true" ma:internalName="MediaServiceGenerationTime">
      <xsd:simpleType>
        <xsd:restriction base="dms:Text"/>
      </xsd:simpleType>
    </xsd:element>
    <xsd:element ma:hidden="true" ma:readOnly="true" ma:index="17" ma:displayName="MediaServiceEventHashCode" name="MediaServiceEventHashCod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hidden="true" ma:readOnly="true" ma:index="19" ma:displayName="MediaServiceAutoKeyPoints" name="MediaServiceAutoKeyPoints" nillable="true" ma:internalName="MediaServiceAutoKeyPoints">
      <xsd:simpleType>
        <xsd:restriction base="dms:Note"/>
      </xsd:simpleType>
    </xsd:element>
    <xsd:element ma:readOnly="true" ma:index="20" ma:displayName="KeyPoints" name="MediaServiceKeyPoints" nillable="true" ma:internalName="MediaServiceKeyPoints">
      <xsd:simpleType>
        <xsd:restriction base="dms:Note">
          <xsd:maxLength value="255"/>
        </xsd:restriction>
      </xsd:simpleType>
    </xsd:element>
    <xsd:element ma:readOnly="true" ma:index="23" ma:displayName="Length (seconds)" name="MediaLengthInSeconds" nillable="true" ma:internalName="MediaLengthInSeconds">
      <xsd:simpleType>
        <xsd:restriction base="dms:Unknown"/>
      </xsd:simpleType>
    </xsd:element>
    <xsd:element ma:anchorId="fba54fb3-c3e1-fe81-a776-ca4b69148c4d" ma:termSetId="09814cd3-568e-fe90-9814-8d621ff8fb84" ma:readOnly="false" ma:index="25" ma:taxonomy="true" ma:open="true" ma:displayName="Image Tags" ma:fieldId="{5cf76f15-5ced-4ddc-b409-7134ff3c332f}" ma:taxonomyMulti="true" name="lcf76f155ced4ddcb4097134ff3c332f" nillable="true" ma:internalName="lcf76f155ced4ddcb4097134ff3c332f" ma:isKeyword="false" ma:taxonomyFieldName="MediaServiceImageTags" ma:sspId="c3d31b72-c4b9-4223-ac69-1d9539891dc8">
      <xsd:complexType>
        <xsd:sequence>
          <xsd:element ref="pc:Terms" maxOccurs="1" minOccurs="0"/>
        </xsd:sequence>
      </xsd:complexType>
    </xsd:element>
    <xsd:element ma:hidden="true" ma:readOnly="true" ma:index="27" ma:displayName="MediaServiceObjectDetectorVersions" ma:description="" ma:indexed="true" name="MediaServiceObjectDetectorVersions" nillable="true" ma:internalName="MediaServiceObjectDetectorVersions">
      <xsd:simpleType>
        <xsd:restriction base="dms:Text"/>
      </xsd:simpleType>
    </xsd:element>
    <xsd:element ma:hidden="true" ma:readOnly="true" ma:index="28" ma:displayName="MediaServiceSearchProperties" name="MediaServiceSearchProperties" nillable="true" ma:internalName="MediaServiceSearchProperties">
      <xsd:simpleType>
        <xsd:restriction base="dms:Note"/>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9b239327-9e80-40e4-b1b7-4394fed77a33">
    <xsd:import namespace="http://schemas.microsoft.com/office/2006/documentManagement/types"/>
    <xsd:import namespace="http://schemas.microsoft.com/office/infopath/2007/PartnerControls"/>
    <xsd:element ma:readOnly="true" ma:index="10" ma:displayName="Shared With" name="SharedWithUsers" nillable="true" ma:internalName="SharedWithUsers">
      <xsd:complexType>
        <xsd:complexContent>
          <xsd:extension base="dms:UserMulti">
            <xsd:sequence>
              <xsd:element maxOccurs="unbounded" minOccurs="0" name="UserInfo">
                <xsd:complexType>
                  <xsd:sequence>
                    <xsd:element type="xsd:string" minOccurs="0" name="DisplayName"/>
                    <xsd:element type="dms:UserId" minOccurs="0" name="AccountId" nillable="true"/>
                    <xsd:element type="xsd:string" minOccurs="0" name="AccountType"/>
                  </xsd:sequence>
                </xsd:complexType>
              </xsd:element>
            </xsd:sequence>
          </xsd:extension>
        </xsd:complexContent>
      </xsd:complexType>
    </xsd:element>
    <xsd:element ma:readOnly="true" ma:index="11" ma:displayName="Shared With Details" name="SharedWithDetails" nillable="true" ma:internalName="SharedWithDetail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d8762117-8292-4133-b1c7-eab5c6487cfd">
    <xsd:import namespace="http://schemas.microsoft.com/office/2006/documentManagement/types"/>
    <xsd:import namespace="http://schemas.microsoft.com/office/infopath/2007/PartnerControls"/>
    <xsd:element ma:hidden="true" ma:index="26" ma:list="{b887a991-dcc8-442b-9da6-e470cbc3e4a9}" ma:displayName="Taxonomy Catch All Column" name="TaxCatchAll" ma:showField="CatchAllData" nillable="true" ma:internalName="TaxCatchAll" ma:web="9b239327-9e80-40e4-b1b7-4394fed77a33">
      <xsd:complexType>
        <xsd:complexContent>
          <xsd:extension base="dms:MultiChoiceLookup">
            <xsd:sequence>
              <xsd:element type="dms:Lookup" maxOccurs="unbounded" minOccurs="0" name="Value" nillable="true"/>
            </xsd:sequence>
          </xsd:extension>
        </xsd:complexContent>
      </xsd:complex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displayName="Content Type" maxOccurs="1" minOccurs="0" name="contentType"/>
        <xsd:element ma:index="4" ref="dc:title" ma:displayName="Title" maxOccurs="1" minOccurs="0"/>
        <xsd:element ref="dc:subject" maxOccurs="1" minOccurs="0"/>
        <xsd:element ref="dc:description" maxOccurs="1" minOccurs="0"/>
        <xsd:element type="xsd:string" maxOccurs="1" minOccurs="0" name="keywords"/>
        <xsd:element ref="dc:language" maxOccurs="1"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ref="dcterms:modified" maxOccurs="1" minOccurs="0"/>
        <xsd:element type="xsd:string" maxOccurs="1" minOccurs="0" name="contentStatus"/>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c="http://schemas.microsoft.com/office/infopath/2007/PartnerControl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1EEDF6-ED58-45C6-A16B-7FDB9570BCE6}">
  <ds:schemaRefs/>
</ds:datastoreItem>
</file>

<file path=customXml/itemProps2.xml><?xml version="1.0" encoding="utf-8"?>
<ds:datastoreItem xmlns:ds="http://schemas.openxmlformats.org/officeDocument/2006/customXml" ds:itemID="{003BBDF6-10BF-324C-BE73-C709D1A2966A}">
  <ds:schemaRefs/>
</ds:datastoreItem>
</file>

<file path=customXml/itemProps3.xml><?xml version="1.0" encoding="utf-8"?>
<ds:datastoreItem xmlns:ds="http://schemas.openxmlformats.org/officeDocument/2006/customXml" ds:itemID="{71A5B502-EF3F-40E5-BB6F-8BFEED59FE51}">
  <ds:schemaRefs/>
</ds:datastoreItem>
</file>

<file path=customXml/itemProps4.xml><?xml version="1.0" encoding="utf-8"?>
<ds:datastoreItem xmlns:ds="http://schemas.openxmlformats.org/officeDocument/2006/customXml" ds:itemID="{9853E33D-8619-440A-90BD-B2C3FE46013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2141</Words>
  <Characters>11186</Characters>
  <Lines>93</Lines>
  <Paragraphs>26</Paragraphs>
  <TotalTime>1450</TotalTime>
  <ScaleCrop>false</ScaleCrop>
  <LinksUpToDate>false</LinksUpToDate>
  <CharactersWithSpaces>13301</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2024-12-03T21:24:00Z</dcterms:created>
  <dc:creator>Deep [EAB]</dc:creator>
  <cp:lastModifiedBy>Deep [E///]</cp:lastModifiedBy>
  <cp:lastPrinted>1900-01-02T17:27:00Z</cp:lastPrinted>
  <dcterms:modified xsi:type="dcterms:W3CDTF">2025-05-09T21:20:20Z</dcterms:modified>
  <dc:title>MTG_TITLE</dc:title>
  <cp:revision>958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